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hint="eastAsia"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临清沪农商村镇银行2024年度</w:t>
      </w:r>
    </w:p>
    <w:p>
      <w:pPr>
        <w:spacing w:line="600" w:lineRule="exact"/>
        <w:jc w:val="center"/>
        <w:rPr>
          <w:rFonts w:hint="eastAsia"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社会责任报告</w:t>
      </w:r>
    </w:p>
    <w:p>
      <w:pPr>
        <w:tabs>
          <w:tab w:val="left" w:pos="336"/>
          <w:tab w:val="center" w:pos="4213"/>
        </w:tabs>
        <w:spacing w:line="600" w:lineRule="exact"/>
        <w:jc w:val="left"/>
        <w:rPr>
          <w:rFonts w:hint="eastAsia" w:ascii="仿宋" w:hAnsi="仿宋" w:eastAsia="仿宋" w:cs="仿宋"/>
          <w:b/>
          <w:bCs/>
          <w:sz w:val="28"/>
          <w:szCs w:val="28"/>
        </w:rPr>
      </w:pPr>
      <w:r>
        <w:rPr>
          <w:rFonts w:hint="eastAsia" w:ascii="仿宋" w:hAnsi="仿宋" w:eastAsia="仿宋" w:cs="仿宋"/>
          <w:b/>
          <w:bCs/>
          <w:sz w:val="28"/>
          <w:szCs w:val="28"/>
          <w:lang w:eastAsia="zh-CN"/>
        </w:rPr>
        <w:tab/>
      </w:r>
      <w:bookmarkStart w:id="0" w:name="_GoBack"/>
      <w:bookmarkEnd w:id="0"/>
      <w:r>
        <w:rPr>
          <w:rFonts w:hint="eastAsia" w:ascii="仿宋" w:hAnsi="仿宋" w:eastAsia="仿宋" w:cs="仿宋"/>
          <w:b/>
          <w:bCs/>
          <w:sz w:val="28"/>
          <w:szCs w:val="28"/>
          <w:lang w:eastAsia="zh-CN"/>
        </w:rPr>
        <w:tab/>
      </w:r>
      <w:r>
        <w:rPr>
          <w:rFonts w:hint="eastAsia" w:ascii="仿宋" w:hAnsi="仿宋" w:eastAsia="仿宋" w:cs="仿宋"/>
          <w:b/>
          <w:bCs/>
          <w:sz w:val="28"/>
          <w:szCs w:val="28"/>
        </w:rPr>
        <w:t>目录</w:t>
      </w:r>
    </w:p>
    <w:p>
      <w:pPr>
        <w:numPr>
          <w:ilvl w:val="0"/>
          <w:numId w:val="1"/>
        </w:numPr>
        <w:spacing w:line="600" w:lineRule="exact"/>
        <w:jc w:val="center"/>
        <w:rPr>
          <w:rFonts w:hint="eastAsia" w:ascii="仿宋" w:hAnsi="仿宋" w:eastAsia="仿宋" w:cs="仿宋"/>
          <w:sz w:val="28"/>
          <w:szCs w:val="28"/>
        </w:rPr>
      </w:pPr>
      <w:r>
        <w:rPr>
          <w:rFonts w:hint="eastAsia" w:ascii="仿宋" w:hAnsi="仿宋" w:eastAsia="仿宋" w:cs="仿宋"/>
          <w:sz w:val="28"/>
          <w:szCs w:val="28"/>
        </w:rPr>
        <w:t>社会责任概况</w:t>
      </w:r>
    </w:p>
    <w:p>
      <w:pPr>
        <w:numPr>
          <w:ilvl w:val="0"/>
          <w:numId w:val="1"/>
        </w:numPr>
        <w:spacing w:line="600" w:lineRule="exact"/>
        <w:jc w:val="center"/>
        <w:rPr>
          <w:rFonts w:hint="eastAsia" w:ascii="仿宋" w:hAnsi="仿宋" w:eastAsia="仿宋" w:cs="仿宋"/>
          <w:sz w:val="28"/>
          <w:szCs w:val="28"/>
        </w:rPr>
      </w:pPr>
      <w:r>
        <w:rPr>
          <w:rFonts w:hint="eastAsia" w:ascii="仿宋" w:hAnsi="仿宋" w:eastAsia="仿宋" w:cs="仿宋"/>
          <w:sz w:val="28"/>
          <w:szCs w:val="28"/>
        </w:rPr>
        <w:t>社会责任理念</w:t>
      </w:r>
    </w:p>
    <w:p>
      <w:pPr>
        <w:numPr>
          <w:ilvl w:val="0"/>
          <w:numId w:val="1"/>
        </w:numPr>
        <w:spacing w:line="600" w:lineRule="exact"/>
        <w:jc w:val="center"/>
        <w:rPr>
          <w:rFonts w:hint="eastAsia" w:ascii="仿宋" w:hAnsi="仿宋" w:eastAsia="仿宋" w:cs="仿宋"/>
          <w:sz w:val="28"/>
          <w:szCs w:val="28"/>
        </w:rPr>
      </w:pPr>
      <w:r>
        <w:rPr>
          <w:rFonts w:hint="eastAsia" w:ascii="仿宋" w:hAnsi="仿宋" w:eastAsia="仿宋" w:cs="仿宋"/>
          <w:sz w:val="28"/>
          <w:szCs w:val="28"/>
        </w:rPr>
        <w:t>社会责任管理</w:t>
      </w:r>
    </w:p>
    <w:p>
      <w:pPr>
        <w:numPr>
          <w:ilvl w:val="0"/>
          <w:numId w:val="1"/>
        </w:numPr>
        <w:spacing w:line="600" w:lineRule="exact"/>
        <w:jc w:val="center"/>
        <w:rPr>
          <w:rFonts w:hint="eastAsia" w:ascii="仿宋" w:hAnsi="仿宋" w:eastAsia="仿宋" w:cs="仿宋"/>
          <w:sz w:val="28"/>
          <w:szCs w:val="28"/>
        </w:rPr>
      </w:pPr>
      <w:r>
        <w:rPr>
          <w:rFonts w:hint="eastAsia" w:ascii="仿宋" w:hAnsi="仿宋" w:eastAsia="仿宋" w:cs="仿宋"/>
          <w:sz w:val="28"/>
          <w:szCs w:val="28"/>
        </w:rPr>
        <w:t>社会责任实践</w:t>
      </w:r>
    </w:p>
    <w:p>
      <w:pPr>
        <w:spacing w:line="600" w:lineRule="exact"/>
        <w:ind w:firstLine="2800" w:firstLineChars="1000"/>
        <w:rPr>
          <w:rFonts w:hint="eastAsia" w:ascii="仿宋" w:hAnsi="仿宋" w:eastAsia="仿宋" w:cs="仿宋"/>
          <w:sz w:val="28"/>
          <w:szCs w:val="28"/>
        </w:rPr>
      </w:pPr>
      <w:r>
        <w:rPr>
          <w:rFonts w:hint="eastAsia" w:ascii="仿宋" w:hAnsi="仿宋" w:eastAsia="仿宋" w:cs="仿宋"/>
          <w:sz w:val="28"/>
          <w:szCs w:val="28"/>
        </w:rPr>
        <w:t>第五节 环境信息披露</w:t>
      </w:r>
    </w:p>
    <w:p>
      <w:pPr>
        <w:spacing w:line="600" w:lineRule="exact"/>
        <w:ind w:firstLine="2800" w:firstLineChars="1000"/>
        <w:rPr>
          <w:rFonts w:hint="eastAsia" w:ascii="仿宋" w:hAnsi="仿宋" w:eastAsia="仿宋" w:cs="仿宋"/>
          <w:sz w:val="28"/>
          <w:szCs w:val="28"/>
        </w:rPr>
        <w:sectPr>
          <w:headerReference r:id="rId3" w:type="default"/>
          <w:footerReference r:id="rId4" w:type="default"/>
          <w:pgSz w:w="11906" w:h="16838"/>
          <w:pgMar w:top="1440" w:right="1800" w:bottom="1440" w:left="1800" w:header="851" w:footer="992" w:gutter="0"/>
          <w:cols w:space="425" w:num="1"/>
          <w:docGrid w:type="lines" w:linePitch="312" w:charSpace="0"/>
        </w:sectPr>
      </w:pPr>
      <w:r>
        <w:rPr>
          <w:rFonts w:hint="eastAsia" w:ascii="仿宋" w:hAnsi="仿宋" w:eastAsia="仿宋" w:cs="仿宋"/>
          <w:sz w:val="28"/>
          <w:szCs w:val="28"/>
        </w:rPr>
        <w:t>第六节 责任展望</w:t>
      </w:r>
    </w:p>
    <w:p>
      <w:pPr>
        <w:spacing w:line="600" w:lineRule="exact"/>
        <w:jc w:val="left"/>
        <w:rPr>
          <w:rFonts w:hint="eastAsia" w:ascii="仿宋" w:hAnsi="仿宋" w:eastAsia="仿宋" w:cs="仿宋"/>
          <w:b/>
          <w:bCs/>
          <w:sz w:val="32"/>
          <w:szCs w:val="32"/>
        </w:rPr>
      </w:pPr>
      <w:r>
        <w:rPr>
          <w:rFonts w:hint="eastAsia" w:ascii="仿宋" w:hAnsi="仿宋" w:eastAsia="仿宋" w:cs="仿宋"/>
          <w:b/>
          <w:bCs/>
          <w:sz w:val="32"/>
          <w:szCs w:val="32"/>
        </w:rPr>
        <w:t>第一节社会责任概况</w:t>
      </w:r>
    </w:p>
    <w:p>
      <w:pPr>
        <w:spacing w:line="600" w:lineRule="exact"/>
        <w:jc w:val="left"/>
        <w:rPr>
          <w:rFonts w:hint="eastAsia" w:ascii="仿宋" w:hAnsi="仿宋" w:eastAsia="仿宋" w:cs="仿宋"/>
          <w:b/>
          <w:bCs/>
          <w:sz w:val="28"/>
          <w:szCs w:val="28"/>
        </w:rPr>
      </w:pPr>
      <w:r>
        <w:rPr>
          <w:rFonts w:hint="eastAsia" w:ascii="仿宋" w:hAnsi="仿宋" w:eastAsia="仿宋" w:cs="仿宋"/>
          <w:b/>
          <w:bCs/>
          <w:sz w:val="28"/>
          <w:szCs w:val="28"/>
        </w:rPr>
        <w:t>报告概况</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6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68" w:type="dxa"/>
            <w:vAlign w:val="center"/>
          </w:tcPr>
          <w:p>
            <w:pPr>
              <w:spacing w:line="600" w:lineRule="exact"/>
              <w:jc w:val="left"/>
              <w:rPr>
                <w:rFonts w:hint="eastAsia" w:ascii="仿宋" w:hAnsi="仿宋" w:eastAsia="仿宋" w:cs="仿宋"/>
                <w:sz w:val="24"/>
              </w:rPr>
            </w:pPr>
            <w:r>
              <w:rPr>
                <w:rFonts w:hint="eastAsia" w:ascii="仿宋" w:hAnsi="仿宋" w:eastAsia="仿宋" w:cs="仿宋"/>
                <w:sz w:val="24"/>
              </w:rPr>
              <w:t>报告时间范围</w:t>
            </w:r>
          </w:p>
        </w:tc>
        <w:tc>
          <w:tcPr>
            <w:tcW w:w="6803" w:type="dxa"/>
            <w:vAlign w:val="center"/>
          </w:tcPr>
          <w:p>
            <w:pPr>
              <w:spacing w:line="600" w:lineRule="exact"/>
              <w:jc w:val="left"/>
              <w:rPr>
                <w:rFonts w:hint="eastAsia" w:ascii="仿宋" w:hAnsi="仿宋" w:eastAsia="仿宋" w:cs="仿宋"/>
                <w:sz w:val="24"/>
              </w:rPr>
            </w:pPr>
            <w:r>
              <w:rPr>
                <w:rFonts w:hint="eastAsia" w:ascii="仿宋" w:hAnsi="仿宋" w:eastAsia="仿宋" w:cs="仿宋"/>
                <w:sz w:val="24"/>
              </w:rPr>
              <w:t>2024年1月1日至2024年12月31日，部分表述及数据适当追溯以往年份。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68" w:type="dxa"/>
            <w:shd w:val="clear" w:color="auto" w:fill="DEEBF6" w:themeFill="accent1" w:themeFillTint="32"/>
            <w:vAlign w:val="center"/>
          </w:tcPr>
          <w:p>
            <w:pPr>
              <w:spacing w:line="600" w:lineRule="exact"/>
              <w:jc w:val="left"/>
              <w:rPr>
                <w:rFonts w:hint="eastAsia" w:ascii="仿宋" w:hAnsi="仿宋" w:eastAsia="仿宋" w:cs="仿宋"/>
                <w:sz w:val="24"/>
              </w:rPr>
            </w:pPr>
            <w:r>
              <w:rPr>
                <w:rFonts w:hint="eastAsia" w:ascii="仿宋" w:hAnsi="仿宋" w:eastAsia="仿宋" w:cs="仿宋"/>
                <w:sz w:val="24"/>
              </w:rPr>
              <w:t>报告发布周期</w:t>
            </w:r>
          </w:p>
        </w:tc>
        <w:tc>
          <w:tcPr>
            <w:tcW w:w="6803" w:type="dxa"/>
            <w:shd w:val="clear" w:color="auto" w:fill="DEEBF6" w:themeFill="accent1" w:themeFillTint="32"/>
            <w:vAlign w:val="center"/>
          </w:tcPr>
          <w:p>
            <w:pPr>
              <w:spacing w:line="600" w:lineRule="exact"/>
              <w:jc w:val="left"/>
              <w:rPr>
                <w:rFonts w:hint="eastAsia" w:ascii="仿宋" w:hAnsi="仿宋" w:eastAsia="仿宋" w:cs="仿宋"/>
                <w:sz w:val="24"/>
              </w:rPr>
            </w:pPr>
            <w:r>
              <w:rPr>
                <w:rFonts w:hint="eastAsia" w:ascii="仿宋" w:hAnsi="仿宋" w:eastAsia="仿宋" w:cs="仿宋"/>
                <w:sz w:val="24"/>
              </w:rPr>
              <w:t>本报告为年度报告。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68" w:type="dxa"/>
            <w:vAlign w:val="center"/>
          </w:tcPr>
          <w:p>
            <w:pPr>
              <w:spacing w:line="600" w:lineRule="exact"/>
              <w:jc w:val="left"/>
              <w:rPr>
                <w:rFonts w:hint="eastAsia" w:ascii="仿宋" w:hAnsi="仿宋" w:eastAsia="仿宋" w:cs="仿宋"/>
                <w:sz w:val="24"/>
              </w:rPr>
            </w:pPr>
            <w:r>
              <w:rPr>
                <w:rFonts w:hint="eastAsia" w:ascii="仿宋" w:hAnsi="仿宋" w:eastAsia="仿宋" w:cs="仿宋"/>
                <w:sz w:val="24"/>
              </w:rPr>
              <w:t>报告组织范围</w:t>
            </w:r>
          </w:p>
        </w:tc>
        <w:tc>
          <w:tcPr>
            <w:tcW w:w="6803" w:type="dxa"/>
            <w:vAlign w:val="center"/>
          </w:tcPr>
          <w:p>
            <w:pPr>
              <w:spacing w:line="600" w:lineRule="exact"/>
              <w:jc w:val="left"/>
              <w:rPr>
                <w:rFonts w:hint="eastAsia" w:ascii="仿宋" w:hAnsi="仿宋" w:eastAsia="仿宋" w:cs="仿宋"/>
                <w:sz w:val="24"/>
              </w:rPr>
            </w:pPr>
            <w:r>
              <w:rPr>
                <w:rFonts w:hint="eastAsia" w:ascii="仿宋" w:hAnsi="仿宋" w:eastAsia="仿宋" w:cs="仿宋"/>
                <w:sz w:val="24"/>
              </w:rPr>
              <w:t>临清沪农商村镇银行，为便于表达，在下述报告中简称为临清村行。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68" w:type="dxa"/>
            <w:shd w:val="clear" w:color="auto" w:fill="DEEBF6" w:themeFill="accent1" w:themeFillTint="32"/>
            <w:vAlign w:val="center"/>
          </w:tcPr>
          <w:p>
            <w:pPr>
              <w:spacing w:line="600" w:lineRule="exact"/>
              <w:jc w:val="left"/>
              <w:rPr>
                <w:rFonts w:hint="eastAsia" w:ascii="仿宋" w:hAnsi="仿宋" w:eastAsia="仿宋" w:cs="仿宋"/>
                <w:sz w:val="24"/>
              </w:rPr>
            </w:pPr>
            <w:r>
              <w:rPr>
                <w:rFonts w:hint="eastAsia" w:ascii="仿宋" w:hAnsi="仿宋" w:eastAsia="仿宋" w:cs="仿宋"/>
                <w:sz w:val="24"/>
              </w:rPr>
              <w:t>报告数据说明</w:t>
            </w:r>
          </w:p>
        </w:tc>
        <w:tc>
          <w:tcPr>
            <w:tcW w:w="6803" w:type="dxa"/>
            <w:shd w:val="clear" w:color="auto" w:fill="DEEBF6" w:themeFill="accent1" w:themeFillTint="32"/>
            <w:vAlign w:val="center"/>
          </w:tcPr>
          <w:p>
            <w:pPr>
              <w:spacing w:line="600" w:lineRule="exact"/>
              <w:jc w:val="left"/>
              <w:rPr>
                <w:rFonts w:hint="eastAsia" w:ascii="仿宋" w:hAnsi="仿宋" w:eastAsia="仿宋" w:cs="仿宋"/>
                <w:sz w:val="24"/>
              </w:rPr>
            </w:pPr>
            <w:r>
              <w:rPr>
                <w:rFonts w:hint="eastAsia" w:ascii="仿宋" w:hAnsi="仿宋" w:eastAsia="仿宋" w:cs="仿宋"/>
                <w:sz w:val="24"/>
              </w:rPr>
              <w:t>本报告的数据主要源于临清村行。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68" w:type="dxa"/>
            <w:vAlign w:val="center"/>
          </w:tcPr>
          <w:p>
            <w:pPr>
              <w:spacing w:line="600" w:lineRule="exact"/>
              <w:jc w:val="left"/>
              <w:rPr>
                <w:rFonts w:hint="eastAsia" w:ascii="仿宋" w:hAnsi="仿宋" w:eastAsia="仿宋" w:cs="仿宋"/>
                <w:sz w:val="24"/>
              </w:rPr>
            </w:pPr>
            <w:r>
              <w:rPr>
                <w:rFonts w:hint="eastAsia" w:ascii="仿宋" w:hAnsi="仿宋" w:eastAsia="仿宋" w:cs="仿宋"/>
                <w:sz w:val="24"/>
              </w:rPr>
              <w:t>报告编制依据</w:t>
            </w:r>
          </w:p>
        </w:tc>
        <w:tc>
          <w:tcPr>
            <w:tcW w:w="6803" w:type="dxa"/>
            <w:vAlign w:val="center"/>
          </w:tcPr>
          <w:p>
            <w:pPr>
              <w:spacing w:line="600" w:lineRule="exact"/>
              <w:jc w:val="left"/>
              <w:rPr>
                <w:rFonts w:hint="eastAsia" w:ascii="仿宋" w:hAnsi="仿宋" w:eastAsia="仿宋" w:cs="仿宋"/>
                <w:sz w:val="24"/>
              </w:rPr>
            </w:pPr>
            <w:r>
              <w:rPr>
                <w:rFonts w:hint="eastAsia" w:ascii="仿宋" w:hAnsi="仿宋" w:eastAsia="仿宋" w:cs="仿宋"/>
                <w:sz w:val="24"/>
              </w:rPr>
              <w:t>原中国银监会《关于加强银行业金融机构社会责任的意见》</w:t>
            </w:r>
          </w:p>
          <w:p>
            <w:pPr>
              <w:spacing w:line="600" w:lineRule="exact"/>
              <w:jc w:val="left"/>
              <w:rPr>
                <w:rFonts w:hint="eastAsia" w:ascii="仿宋" w:hAnsi="仿宋" w:eastAsia="仿宋" w:cs="仿宋"/>
                <w:sz w:val="24"/>
              </w:rPr>
            </w:pPr>
            <w:r>
              <w:rPr>
                <w:rFonts w:hint="eastAsia" w:ascii="仿宋" w:hAnsi="仿宋" w:eastAsia="仿宋" w:cs="仿宋"/>
                <w:sz w:val="24"/>
              </w:rPr>
              <w:t>中国银行业协会《中国银行业金融机构企业社会责任指引》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68" w:type="dxa"/>
            <w:shd w:val="clear" w:color="auto" w:fill="DEEBF6" w:themeFill="accent1" w:themeFillTint="32"/>
            <w:vAlign w:val="center"/>
          </w:tcPr>
          <w:p>
            <w:pPr>
              <w:spacing w:line="600" w:lineRule="exact"/>
              <w:jc w:val="left"/>
              <w:rPr>
                <w:rFonts w:hint="eastAsia" w:ascii="仿宋" w:hAnsi="仿宋" w:eastAsia="仿宋" w:cs="仿宋"/>
                <w:sz w:val="24"/>
              </w:rPr>
            </w:pPr>
            <w:r>
              <w:rPr>
                <w:rFonts w:hint="eastAsia" w:ascii="仿宋" w:hAnsi="仿宋" w:eastAsia="仿宋" w:cs="仿宋"/>
                <w:sz w:val="24"/>
              </w:rPr>
              <w:t>报告发布方式</w:t>
            </w:r>
          </w:p>
        </w:tc>
        <w:tc>
          <w:tcPr>
            <w:tcW w:w="6803" w:type="dxa"/>
            <w:shd w:val="clear" w:color="auto" w:fill="DEEBF6" w:themeFill="accent1" w:themeFillTint="32"/>
            <w:vAlign w:val="center"/>
          </w:tcPr>
          <w:p>
            <w:pPr>
              <w:spacing w:line="600" w:lineRule="exact"/>
              <w:jc w:val="left"/>
              <w:rPr>
                <w:rFonts w:hint="eastAsia" w:ascii="仿宋" w:hAnsi="仿宋" w:eastAsia="仿宋" w:cs="仿宋"/>
                <w:sz w:val="24"/>
              </w:rPr>
            </w:pPr>
            <w:r>
              <w:rPr>
                <w:rFonts w:hint="eastAsia" w:ascii="仿宋" w:hAnsi="仿宋" w:eastAsia="仿宋" w:cs="仿宋"/>
                <w:sz w:val="24"/>
              </w:rPr>
              <w:t>报告以电子版形式发布，电子版查询及下载地址：http://linq.srcbcz.com/linq/index.html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68" w:type="dxa"/>
            <w:vAlign w:val="center"/>
          </w:tcPr>
          <w:p>
            <w:pPr>
              <w:spacing w:line="600" w:lineRule="exact"/>
              <w:jc w:val="left"/>
              <w:rPr>
                <w:rFonts w:hint="eastAsia" w:ascii="仿宋" w:hAnsi="仿宋" w:eastAsia="仿宋" w:cs="仿宋"/>
                <w:sz w:val="24"/>
              </w:rPr>
            </w:pPr>
            <w:r>
              <w:rPr>
                <w:rFonts w:hint="eastAsia" w:ascii="仿宋" w:hAnsi="仿宋" w:eastAsia="仿宋" w:cs="仿宋"/>
                <w:sz w:val="24"/>
              </w:rPr>
              <w:t>联系方式</w:t>
            </w:r>
          </w:p>
        </w:tc>
        <w:tc>
          <w:tcPr>
            <w:tcW w:w="6803" w:type="dxa"/>
            <w:vAlign w:val="center"/>
          </w:tcPr>
          <w:p>
            <w:pPr>
              <w:spacing w:line="600" w:lineRule="exact"/>
              <w:jc w:val="left"/>
              <w:rPr>
                <w:rFonts w:hint="eastAsia" w:ascii="仿宋" w:hAnsi="仿宋" w:eastAsia="仿宋" w:cs="仿宋"/>
                <w:sz w:val="24"/>
              </w:rPr>
            </w:pPr>
            <w:r>
              <w:rPr>
                <w:rFonts w:hint="eastAsia" w:ascii="仿宋" w:hAnsi="仿宋" w:eastAsia="仿宋" w:cs="仿宋"/>
                <w:sz w:val="24"/>
              </w:rPr>
              <w:t>部门姓名：办公室付嘉慧</w:t>
            </w:r>
          </w:p>
          <w:p>
            <w:pPr>
              <w:spacing w:line="600" w:lineRule="exact"/>
              <w:jc w:val="left"/>
              <w:rPr>
                <w:rFonts w:hint="eastAsia" w:ascii="仿宋_GB2312" w:hAnsi="宋体" w:eastAsia="仿宋_GB2312"/>
                <w:color w:val="000000"/>
                <w:sz w:val="32"/>
                <w:szCs w:val="32"/>
              </w:rPr>
            </w:pPr>
            <w:r>
              <w:rPr>
                <w:rFonts w:hint="eastAsia" w:ascii="仿宋" w:hAnsi="仿宋" w:eastAsia="仿宋" w:cs="仿宋"/>
                <w:sz w:val="24"/>
              </w:rPr>
              <w:t>地址：山东省临清市古楼新村2988号中央帝景A区12号</w:t>
            </w:r>
          </w:p>
          <w:p>
            <w:pPr>
              <w:spacing w:line="600" w:lineRule="exact"/>
              <w:jc w:val="left"/>
              <w:rPr>
                <w:rFonts w:hint="eastAsia" w:ascii="仿宋" w:hAnsi="仿宋" w:eastAsia="仿宋" w:cs="仿宋"/>
                <w:sz w:val="24"/>
              </w:rPr>
            </w:pPr>
            <w:r>
              <w:rPr>
                <w:rFonts w:hint="eastAsia" w:ascii="仿宋" w:hAnsi="仿宋" w:eastAsia="仿宋" w:cs="仿宋"/>
                <w:sz w:val="24"/>
              </w:rPr>
              <w:t>电话：0635-2976707</w:t>
            </w:r>
          </w:p>
        </w:tc>
      </w:tr>
    </w:tbl>
    <w:p>
      <w:pPr>
        <w:spacing w:line="600" w:lineRule="exact"/>
        <w:jc w:val="left"/>
        <w:rPr>
          <w:rFonts w:hint="eastAsia" w:ascii="仿宋" w:hAnsi="仿宋" w:eastAsia="仿宋" w:cs="仿宋"/>
          <w:b/>
          <w:bCs/>
          <w:sz w:val="28"/>
          <w:szCs w:val="28"/>
        </w:rPr>
      </w:pPr>
      <w:r>
        <w:rPr>
          <w:rFonts w:hint="eastAsia" w:ascii="仿宋" w:hAnsi="仿宋" w:eastAsia="仿宋" w:cs="仿宋"/>
          <w:b/>
          <w:bCs/>
          <w:sz w:val="28"/>
          <w:szCs w:val="28"/>
        </w:rPr>
        <w:t>公司简介</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临清沪农商村镇银行股份有限公司，是经国家金融监督管理总局（原中国银行保险监督管理委员会）批准，由上海农村商业银行股份有限公司（总部设在上海的A股上市银行，股票代码601825）发起设立，是国资控股的新型农村金融机构。</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一、法定名称：临清沪农商村镇银行股份有限公司</w:t>
      </w:r>
    </w:p>
    <w:p>
      <w:pPr>
        <w:spacing w:line="600" w:lineRule="exact"/>
        <w:ind w:firstLine="1280" w:firstLineChars="4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中文简称：临清沪农商村镇银行</w:t>
      </w:r>
    </w:p>
    <w:p>
      <w:pPr>
        <w:spacing w:line="600" w:lineRule="exact"/>
        <w:ind w:firstLine="1280" w:firstLineChars="400"/>
        <w:jc w:val="left"/>
        <w:rPr>
          <w:rFonts w:hint="eastAsia" w:ascii="仿宋_GB2312" w:hAnsi="仿宋_GB2312" w:eastAsia="仿宋_GB2312" w:cs="仿宋_GB2312"/>
          <w:sz w:val="32"/>
          <w:szCs w:val="32"/>
        </w:rPr>
      </w:pPr>
      <w:r>
        <w:rPr>
          <w:rFonts w:hint="eastAsia" w:ascii="仿宋_GB2312" w:hAnsi="宋体" w:eastAsia="仿宋_GB2312" w:cs="Times New Roman"/>
          <w:color w:val="000000"/>
          <w:sz w:val="32"/>
          <w:szCs w:val="32"/>
        </w:rPr>
        <w:t>英文名称：LINQING SHRCB RURAL BANK</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二、法定代表人：杨红光</w:t>
      </w:r>
    </w:p>
    <w:p>
      <w:pPr>
        <w:spacing w:line="600" w:lineRule="exact"/>
        <w:ind w:firstLine="640" w:firstLineChars="200"/>
        <w:jc w:val="left"/>
        <w:rPr>
          <w:rFonts w:hint="eastAsia" w:ascii="仿宋_GB2312" w:hAnsi="宋体" w:eastAsia="仿宋_GB2312"/>
          <w:color w:val="000000"/>
          <w:sz w:val="32"/>
          <w:szCs w:val="32"/>
        </w:rPr>
      </w:pPr>
      <w:r>
        <w:rPr>
          <w:rFonts w:hint="eastAsia" w:ascii="仿宋_GB2312" w:hAnsi="仿宋_GB2312" w:eastAsia="仿宋_GB2312" w:cs="仿宋_GB2312"/>
          <w:sz w:val="32"/>
          <w:szCs w:val="32"/>
        </w:rPr>
        <w:t>三、注册资本：</w:t>
      </w:r>
      <w:r>
        <w:rPr>
          <w:rFonts w:hint="eastAsia" w:ascii="仿宋_GB2312" w:hAnsi="宋体" w:eastAsia="仿宋_GB2312"/>
          <w:color w:val="000000"/>
          <w:sz w:val="32"/>
          <w:szCs w:val="32"/>
        </w:rPr>
        <w:t>人民币15000万元</w:t>
      </w:r>
    </w:p>
    <w:p>
      <w:pPr>
        <w:spacing w:line="600" w:lineRule="exact"/>
        <w:ind w:firstLine="640" w:firstLineChars="200"/>
        <w:jc w:val="left"/>
        <w:rPr>
          <w:rFonts w:hint="eastAsia" w:ascii="仿宋_GB2312" w:hAnsi="宋体" w:eastAsia="仿宋_GB2312"/>
          <w:color w:val="000000"/>
          <w:sz w:val="32"/>
          <w:szCs w:val="32"/>
        </w:rPr>
      </w:pPr>
      <w:r>
        <w:rPr>
          <w:rFonts w:hint="eastAsia" w:ascii="仿宋_GB2312" w:hAnsi="仿宋_GB2312" w:eastAsia="仿宋_GB2312" w:cs="仿宋_GB2312"/>
          <w:sz w:val="32"/>
          <w:szCs w:val="32"/>
        </w:rPr>
        <w:t>四、注册地址及办公地址：山东省临清市古楼新村2988号中央帝景A区12号</w:t>
      </w:r>
    </w:p>
    <w:p>
      <w:pPr>
        <w:spacing w:line="600" w:lineRule="exact"/>
        <w:ind w:firstLine="640" w:firstLineChars="200"/>
        <w:jc w:val="left"/>
        <w:rPr>
          <w:rFonts w:hint="eastAsia" w:ascii="仿宋_GB2312" w:hAnsi="宋体" w:eastAsia="仿宋_GB2312"/>
          <w:color w:val="000000"/>
          <w:sz w:val="32"/>
          <w:szCs w:val="32"/>
        </w:rPr>
      </w:pPr>
      <w:r>
        <w:rPr>
          <w:rFonts w:hint="eastAsia" w:ascii="仿宋_GB2312" w:hAnsi="宋体" w:eastAsia="仿宋_GB2312"/>
          <w:color w:val="000000"/>
          <w:sz w:val="32"/>
          <w:szCs w:val="32"/>
        </w:rPr>
        <w:t>五、成立时间：2012年6月1日</w:t>
      </w:r>
    </w:p>
    <w:p>
      <w:pPr>
        <w:spacing w:line="600" w:lineRule="exact"/>
        <w:ind w:firstLine="640" w:firstLineChars="200"/>
        <w:jc w:val="left"/>
        <w:rPr>
          <w:rFonts w:hint="eastAsia" w:ascii="仿宋_GB2312" w:hAnsi="宋体" w:eastAsia="仿宋_GB2312"/>
          <w:color w:val="000000"/>
          <w:sz w:val="32"/>
          <w:szCs w:val="32"/>
        </w:rPr>
      </w:pPr>
      <w:r>
        <w:rPr>
          <w:rFonts w:hint="eastAsia" w:ascii="仿宋_GB2312" w:hAnsi="宋体" w:eastAsia="仿宋_GB2312"/>
          <w:color w:val="000000"/>
          <w:sz w:val="32"/>
          <w:szCs w:val="32"/>
        </w:rPr>
        <w:t>六、经营范围：</w:t>
      </w:r>
    </w:p>
    <w:p>
      <w:pPr>
        <w:pStyle w:val="10"/>
        <w:spacing w:beforeAutospacing="0" w:afterAutospacing="0" w:line="600" w:lineRule="exact"/>
        <w:ind w:firstLine="640" w:firstLineChars="200"/>
        <w:rPr>
          <w:rFonts w:hint="eastAsia" w:ascii="仿宋_GB2312" w:hAnsi="宋体" w:eastAsia="仿宋_GB2312"/>
          <w:color w:val="000000"/>
          <w:sz w:val="32"/>
          <w:szCs w:val="32"/>
        </w:rPr>
      </w:pPr>
      <w:r>
        <w:rPr>
          <w:rFonts w:hint="eastAsia" w:ascii="仿宋_GB2312" w:hAnsi="宋体" w:eastAsia="仿宋_GB2312"/>
          <w:color w:val="000000"/>
          <w:sz w:val="32"/>
          <w:szCs w:val="32"/>
        </w:rPr>
        <w:t>（一）吸收公众存款；</w:t>
      </w:r>
    </w:p>
    <w:p>
      <w:pPr>
        <w:pStyle w:val="10"/>
        <w:spacing w:beforeAutospacing="0" w:afterAutospacing="0" w:line="600" w:lineRule="exact"/>
        <w:ind w:firstLine="640" w:firstLineChars="200"/>
        <w:rPr>
          <w:rFonts w:hint="eastAsia" w:ascii="仿宋_GB2312" w:hAnsi="宋体" w:eastAsia="仿宋_GB2312"/>
          <w:color w:val="000000"/>
          <w:sz w:val="32"/>
          <w:szCs w:val="32"/>
        </w:rPr>
      </w:pPr>
      <w:r>
        <w:rPr>
          <w:rFonts w:hint="eastAsia" w:ascii="仿宋_GB2312" w:hAnsi="宋体" w:eastAsia="仿宋_GB2312"/>
          <w:color w:val="000000"/>
          <w:sz w:val="32"/>
          <w:szCs w:val="32"/>
        </w:rPr>
        <w:t>（二）发放短期、中期和长期贷款；</w:t>
      </w:r>
    </w:p>
    <w:p>
      <w:pPr>
        <w:pStyle w:val="10"/>
        <w:spacing w:beforeAutospacing="0" w:afterAutospacing="0" w:line="600" w:lineRule="exact"/>
        <w:ind w:firstLine="640" w:firstLineChars="200"/>
        <w:rPr>
          <w:rFonts w:hint="eastAsia" w:ascii="仿宋_GB2312" w:hAnsi="宋体" w:eastAsia="仿宋_GB2312"/>
          <w:color w:val="000000"/>
          <w:sz w:val="32"/>
          <w:szCs w:val="32"/>
        </w:rPr>
      </w:pPr>
      <w:r>
        <w:rPr>
          <w:rFonts w:hint="eastAsia" w:ascii="仿宋_GB2312" w:hAnsi="宋体" w:eastAsia="仿宋_GB2312"/>
          <w:color w:val="000000"/>
          <w:sz w:val="32"/>
          <w:szCs w:val="32"/>
        </w:rPr>
        <w:t>（三）办理国内结算；</w:t>
      </w:r>
    </w:p>
    <w:p>
      <w:pPr>
        <w:pStyle w:val="10"/>
        <w:spacing w:beforeAutospacing="0" w:afterAutospacing="0" w:line="600" w:lineRule="exact"/>
        <w:ind w:firstLine="640" w:firstLineChars="200"/>
        <w:rPr>
          <w:rFonts w:hint="eastAsia" w:ascii="仿宋_GB2312" w:hAnsi="宋体" w:eastAsia="仿宋_GB2312"/>
          <w:color w:val="000000"/>
          <w:sz w:val="32"/>
          <w:szCs w:val="32"/>
        </w:rPr>
      </w:pPr>
      <w:r>
        <w:rPr>
          <w:rFonts w:hint="eastAsia" w:ascii="仿宋_GB2312" w:hAnsi="宋体" w:eastAsia="仿宋_GB2312"/>
          <w:color w:val="000000"/>
          <w:sz w:val="32"/>
          <w:szCs w:val="32"/>
        </w:rPr>
        <w:t>（四）办理票据承兑与贴现；</w:t>
      </w:r>
    </w:p>
    <w:p>
      <w:pPr>
        <w:pStyle w:val="10"/>
        <w:spacing w:beforeAutospacing="0" w:afterAutospacing="0" w:line="600" w:lineRule="exact"/>
        <w:ind w:firstLine="640" w:firstLineChars="200"/>
        <w:rPr>
          <w:rFonts w:hint="eastAsia" w:ascii="仿宋_GB2312" w:hAnsi="宋体" w:eastAsia="仿宋_GB2312"/>
          <w:color w:val="000000"/>
          <w:sz w:val="32"/>
          <w:szCs w:val="32"/>
        </w:rPr>
      </w:pPr>
      <w:r>
        <w:rPr>
          <w:rFonts w:hint="eastAsia" w:ascii="仿宋_GB2312" w:hAnsi="宋体" w:eastAsia="仿宋_GB2312"/>
          <w:color w:val="000000"/>
          <w:sz w:val="32"/>
          <w:szCs w:val="32"/>
        </w:rPr>
        <w:t>（五）从事同业拆借；</w:t>
      </w:r>
    </w:p>
    <w:p>
      <w:pPr>
        <w:pStyle w:val="10"/>
        <w:spacing w:beforeAutospacing="0" w:afterAutospacing="0" w:line="600" w:lineRule="exact"/>
        <w:ind w:firstLine="640" w:firstLineChars="200"/>
        <w:rPr>
          <w:rFonts w:hint="eastAsia" w:ascii="仿宋_GB2312" w:hAnsi="宋体" w:eastAsia="仿宋_GB2312"/>
          <w:color w:val="000000"/>
          <w:sz w:val="32"/>
          <w:szCs w:val="32"/>
        </w:rPr>
      </w:pPr>
      <w:r>
        <w:rPr>
          <w:rFonts w:hint="eastAsia" w:ascii="仿宋_GB2312" w:hAnsi="宋体" w:eastAsia="仿宋_GB2312"/>
          <w:color w:val="000000"/>
          <w:sz w:val="32"/>
          <w:szCs w:val="32"/>
        </w:rPr>
        <w:t>（六）从事银行卡业务；</w:t>
      </w:r>
    </w:p>
    <w:p>
      <w:pPr>
        <w:pStyle w:val="10"/>
        <w:spacing w:beforeAutospacing="0" w:afterAutospacing="0" w:line="600" w:lineRule="exact"/>
        <w:ind w:firstLine="640" w:firstLineChars="200"/>
        <w:rPr>
          <w:rFonts w:hint="eastAsia" w:ascii="仿宋_GB2312" w:hAnsi="宋体" w:eastAsia="仿宋_GB2312"/>
          <w:color w:val="000000"/>
          <w:sz w:val="32"/>
          <w:szCs w:val="32"/>
        </w:rPr>
      </w:pPr>
      <w:r>
        <w:rPr>
          <w:rFonts w:hint="eastAsia" w:ascii="仿宋_GB2312" w:hAnsi="宋体" w:eastAsia="仿宋_GB2312"/>
          <w:color w:val="000000"/>
          <w:sz w:val="32"/>
          <w:szCs w:val="32"/>
        </w:rPr>
        <w:t>（七）代理发行、兑付、承销政府债券；</w:t>
      </w:r>
    </w:p>
    <w:p>
      <w:pPr>
        <w:pStyle w:val="10"/>
        <w:spacing w:beforeAutospacing="0" w:afterAutospacing="0" w:line="600" w:lineRule="exact"/>
        <w:ind w:firstLine="640" w:firstLineChars="200"/>
        <w:rPr>
          <w:rFonts w:hint="eastAsia" w:ascii="仿宋_GB2312" w:hAnsi="宋体" w:eastAsia="仿宋_GB2312"/>
          <w:color w:val="000000"/>
          <w:sz w:val="32"/>
          <w:szCs w:val="32"/>
        </w:rPr>
      </w:pPr>
      <w:r>
        <w:rPr>
          <w:rFonts w:hint="eastAsia" w:ascii="仿宋_GB2312" w:hAnsi="宋体" w:eastAsia="仿宋_GB2312"/>
          <w:color w:val="000000"/>
          <w:sz w:val="32"/>
          <w:szCs w:val="32"/>
        </w:rPr>
        <w:t>（八）代理收付款项及代理保险业务；</w:t>
      </w:r>
    </w:p>
    <w:p>
      <w:pPr>
        <w:pStyle w:val="10"/>
        <w:spacing w:beforeAutospacing="0" w:afterAutospacing="0" w:line="600" w:lineRule="exact"/>
        <w:ind w:firstLine="640" w:firstLineChars="200"/>
        <w:rPr>
          <w:rFonts w:hint="eastAsia" w:ascii="仿宋_GB2312" w:hAnsi="宋体" w:eastAsia="仿宋_GB2312"/>
          <w:color w:val="000000"/>
          <w:sz w:val="32"/>
          <w:szCs w:val="32"/>
        </w:rPr>
      </w:pPr>
      <w:r>
        <w:rPr>
          <w:rFonts w:hint="eastAsia" w:ascii="仿宋_GB2312" w:hAnsi="宋体" w:eastAsia="仿宋_GB2312"/>
          <w:color w:val="000000"/>
          <w:sz w:val="32"/>
          <w:szCs w:val="32"/>
        </w:rPr>
        <w:t>（九）经银行保险监督管理机构批准的其他业务。</w:t>
      </w:r>
    </w:p>
    <w:p>
      <w:pPr>
        <w:pStyle w:val="10"/>
        <w:spacing w:beforeAutospacing="0" w:afterAutospacing="0" w:line="600" w:lineRule="exact"/>
        <w:rPr>
          <w:rFonts w:hint="eastAsia" w:ascii="仿宋_GB2312" w:hAnsi="宋体" w:eastAsia="仿宋_GB2312"/>
          <w:color w:val="000000"/>
          <w:sz w:val="32"/>
          <w:szCs w:val="32"/>
        </w:rPr>
      </w:pPr>
      <w:r>
        <w:rPr>
          <w:rFonts w:hint="eastAsia" w:ascii="仿宋_GB2312" w:hAnsi="宋体" w:eastAsia="仿宋_GB2312"/>
          <w:color w:val="000000"/>
          <w:sz w:val="32"/>
          <w:szCs w:val="32"/>
        </w:rPr>
        <w:t>（以国家金融监督管理总局原中国银行保险监督管理委员会批准的经营范围为准）</w:t>
      </w:r>
    </w:p>
    <w:p>
      <w:pPr>
        <w:pStyle w:val="10"/>
        <w:spacing w:beforeAutospacing="0" w:afterAutospacing="0" w:line="600" w:lineRule="exact"/>
        <w:ind w:firstLine="640" w:firstLineChars="200"/>
        <w:rPr>
          <w:rFonts w:hint="eastAsia" w:ascii="仿宋_GB2312" w:hAnsi="宋体" w:eastAsia="仿宋_GB2312"/>
          <w:color w:val="000000"/>
          <w:sz w:val="32"/>
          <w:szCs w:val="32"/>
        </w:rPr>
      </w:pPr>
      <w:r>
        <w:rPr>
          <w:rFonts w:hint="eastAsia" w:ascii="仿宋_GB2312" w:hAnsi="宋体" w:eastAsia="仿宋_GB2312"/>
          <w:color w:val="000000"/>
          <w:sz w:val="32"/>
          <w:szCs w:val="32"/>
        </w:rPr>
        <w:t>七、客服热线：4009962999</w:t>
      </w:r>
    </w:p>
    <w:p>
      <w:pPr>
        <w:pStyle w:val="10"/>
        <w:spacing w:beforeAutospacing="0" w:afterAutospacing="0" w:line="600" w:lineRule="exact"/>
        <w:ind w:left="4798" w:leftChars="304" w:hanging="4160" w:hangingChars="1300"/>
        <w:rPr>
          <w:rFonts w:hint="eastAsia" w:ascii="仿宋_GB2312" w:hAnsi="宋体" w:eastAsia="仿宋_GB2312"/>
          <w:color w:val="000000"/>
          <w:sz w:val="32"/>
          <w:szCs w:val="32"/>
        </w:rPr>
      </w:pPr>
      <w:r>
        <w:rPr>
          <w:rFonts w:hint="eastAsia" w:ascii="仿宋_GB2312" w:hAnsi="宋体" w:eastAsia="仿宋_GB2312"/>
          <w:color w:val="000000"/>
          <w:sz w:val="32"/>
          <w:szCs w:val="32"/>
        </w:rPr>
        <w:t>八、联系电话：总行 0635-2976706</w:t>
      </w:r>
    </w:p>
    <w:p>
      <w:pPr>
        <w:pStyle w:val="10"/>
        <w:spacing w:beforeAutospacing="0" w:afterAutospacing="0" w:line="600" w:lineRule="exact"/>
        <w:ind w:firstLine="3520" w:firstLineChars="1100"/>
        <w:rPr>
          <w:rFonts w:hint="eastAsia" w:ascii="仿宋_GB2312" w:hAnsi="宋体" w:eastAsia="仿宋_GB2312"/>
          <w:color w:val="000000"/>
          <w:sz w:val="32"/>
          <w:szCs w:val="32"/>
        </w:rPr>
      </w:pPr>
      <w:r>
        <w:rPr>
          <w:rFonts w:hint="eastAsia" w:ascii="仿宋_GB2312" w:hAnsi="宋体" w:eastAsia="仿宋_GB2312"/>
          <w:color w:val="000000"/>
          <w:sz w:val="32"/>
          <w:szCs w:val="32"/>
        </w:rPr>
        <w:t xml:space="preserve"> 0635-2976707</w:t>
      </w:r>
    </w:p>
    <w:p>
      <w:pPr>
        <w:pStyle w:val="10"/>
        <w:spacing w:beforeAutospacing="0" w:afterAutospacing="0" w:line="600" w:lineRule="exact"/>
        <w:rPr>
          <w:rFonts w:hint="eastAsia" w:ascii="仿宋_GB2312" w:hAnsi="宋体" w:eastAsia="仿宋_GB2312"/>
          <w:color w:val="000000"/>
          <w:sz w:val="32"/>
          <w:szCs w:val="32"/>
        </w:rPr>
      </w:pPr>
      <w:r>
        <w:rPr>
          <w:rFonts w:hint="eastAsia" w:ascii="仿宋_GB2312" w:hAnsi="宋体" w:eastAsia="仿宋_GB2312"/>
          <w:color w:val="000000"/>
          <w:sz w:val="32"/>
          <w:szCs w:val="32"/>
        </w:rPr>
        <w:t xml:space="preserve">               新华支行0635-2976721</w:t>
      </w:r>
    </w:p>
    <w:p>
      <w:pPr>
        <w:pStyle w:val="10"/>
        <w:spacing w:beforeAutospacing="0" w:afterAutospacing="0" w:line="600" w:lineRule="exact"/>
        <w:rPr>
          <w:rFonts w:hint="eastAsia" w:ascii="仿宋" w:hAnsi="仿宋" w:eastAsia="仿宋" w:cs="仿宋"/>
          <w:b/>
          <w:bCs/>
          <w:sz w:val="28"/>
          <w:szCs w:val="28"/>
        </w:rPr>
      </w:pPr>
      <w:r>
        <w:rPr>
          <w:rFonts w:hint="eastAsia" w:ascii="仿宋_GB2312" w:hAnsi="宋体" w:eastAsia="仿宋_GB2312"/>
          <w:color w:val="000000"/>
          <w:sz w:val="32"/>
          <w:szCs w:val="32"/>
        </w:rPr>
        <w:t xml:space="preserve">               烟店支行0635-2976006</w:t>
      </w:r>
    </w:p>
    <w:p>
      <w:pPr>
        <w:spacing w:line="600" w:lineRule="exact"/>
        <w:rPr>
          <w:rFonts w:hint="eastAsia" w:ascii="仿宋" w:hAnsi="仿宋" w:eastAsia="仿宋" w:cs="仿宋"/>
          <w:b/>
          <w:bCs/>
          <w:sz w:val="28"/>
          <w:szCs w:val="28"/>
        </w:rPr>
      </w:pPr>
      <w:r>
        <w:rPr>
          <w:rFonts w:hint="eastAsia" w:ascii="仿宋" w:hAnsi="仿宋" w:eastAsia="仿宋" w:cs="仿宋"/>
          <w:b/>
          <w:bCs/>
          <w:sz w:val="28"/>
          <w:szCs w:val="28"/>
        </w:rPr>
        <w:t>社会责任关键绩效</w:t>
      </w:r>
    </w:p>
    <w:tbl>
      <w:tblPr>
        <w:tblStyle w:val="12"/>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5"/>
        <w:gridCol w:w="1134"/>
        <w:gridCol w:w="1701"/>
        <w:gridCol w:w="170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shd w:val="clear" w:color="auto" w:fill="DEEBF6" w:themeFill="accent1" w:themeFillTint="32"/>
            <w:vAlign w:val="center"/>
          </w:tcPr>
          <w:p>
            <w:pPr>
              <w:spacing w:line="600" w:lineRule="exact"/>
              <w:jc w:val="center"/>
              <w:rPr>
                <w:rFonts w:hint="eastAsia" w:ascii="仿宋" w:hAnsi="仿宋" w:eastAsia="仿宋" w:cs="仿宋"/>
                <w:b/>
                <w:bCs/>
                <w:sz w:val="28"/>
                <w:szCs w:val="28"/>
              </w:rPr>
            </w:pPr>
            <w:r>
              <w:rPr>
                <w:rFonts w:hint="eastAsia" w:ascii="仿宋" w:hAnsi="仿宋" w:eastAsia="仿宋" w:cs="仿宋"/>
                <w:b/>
                <w:bCs/>
                <w:sz w:val="28"/>
                <w:szCs w:val="28"/>
              </w:rPr>
              <w:t>指标</w:t>
            </w:r>
          </w:p>
        </w:tc>
        <w:tc>
          <w:tcPr>
            <w:tcW w:w="1134" w:type="dxa"/>
            <w:shd w:val="clear" w:color="auto" w:fill="DEEBF6" w:themeFill="accent1" w:themeFillTint="32"/>
            <w:vAlign w:val="center"/>
          </w:tcPr>
          <w:p>
            <w:pPr>
              <w:spacing w:line="600" w:lineRule="exact"/>
              <w:jc w:val="center"/>
              <w:rPr>
                <w:rFonts w:hint="eastAsia" w:ascii="仿宋" w:hAnsi="仿宋" w:eastAsia="仿宋" w:cs="仿宋"/>
                <w:b/>
                <w:bCs/>
                <w:sz w:val="28"/>
                <w:szCs w:val="28"/>
              </w:rPr>
            </w:pPr>
            <w:r>
              <w:rPr>
                <w:rFonts w:hint="eastAsia" w:ascii="仿宋" w:hAnsi="仿宋" w:eastAsia="仿宋" w:cs="仿宋"/>
                <w:b/>
                <w:bCs/>
                <w:sz w:val="28"/>
                <w:szCs w:val="28"/>
              </w:rPr>
              <w:t>单位</w:t>
            </w:r>
          </w:p>
        </w:tc>
        <w:tc>
          <w:tcPr>
            <w:tcW w:w="1701" w:type="dxa"/>
            <w:shd w:val="clear" w:color="auto" w:fill="DEEBF6" w:themeFill="accent1" w:themeFillTint="32"/>
            <w:vAlign w:val="center"/>
          </w:tcPr>
          <w:p>
            <w:pPr>
              <w:spacing w:line="600" w:lineRule="exact"/>
              <w:jc w:val="center"/>
              <w:rPr>
                <w:rFonts w:hint="eastAsia" w:ascii="仿宋" w:hAnsi="仿宋" w:eastAsia="仿宋" w:cs="仿宋"/>
                <w:b/>
                <w:bCs/>
                <w:sz w:val="28"/>
                <w:szCs w:val="28"/>
              </w:rPr>
            </w:pPr>
            <w:r>
              <w:rPr>
                <w:rFonts w:hint="eastAsia" w:ascii="仿宋" w:hAnsi="仿宋" w:eastAsia="仿宋" w:cs="仿宋"/>
                <w:b/>
                <w:bCs/>
                <w:sz w:val="28"/>
                <w:szCs w:val="28"/>
              </w:rPr>
              <w:t>2024年</w:t>
            </w:r>
          </w:p>
        </w:tc>
        <w:tc>
          <w:tcPr>
            <w:tcW w:w="1701" w:type="dxa"/>
            <w:shd w:val="clear" w:color="auto" w:fill="DEEBF6" w:themeFill="accent1" w:themeFillTint="32"/>
            <w:vAlign w:val="center"/>
          </w:tcPr>
          <w:p>
            <w:pPr>
              <w:spacing w:line="600" w:lineRule="exact"/>
              <w:jc w:val="center"/>
              <w:rPr>
                <w:rFonts w:hint="eastAsia" w:ascii="仿宋" w:hAnsi="仿宋" w:eastAsia="仿宋" w:cs="仿宋"/>
                <w:b/>
                <w:bCs/>
                <w:sz w:val="28"/>
                <w:szCs w:val="28"/>
              </w:rPr>
            </w:pPr>
            <w:r>
              <w:rPr>
                <w:rFonts w:hint="eastAsia" w:ascii="仿宋" w:hAnsi="仿宋" w:eastAsia="仿宋" w:cs="仿宋"/>
                <w:b/>
                <w:bCs/>
                <w:sz w:val="28"/>
                <w:szCs w:val="28"/>
              </w:rPr>
              <w:t>2023年</w:t>
            </w:r>
          </w:p>
        </w:tc>
        <w:tc>
          <w:tcPr>
            <w:tcW w:w="1701" w:type="dxa"/>
            <w:shd w:val="clear" w:color="auto" w:fill="DEEBF6" w:themeFill="accent1" w:themeFillTint="32"/>
            <w:vAlign w:val="center"/>
          </w:tcPr>
          <w:p>
            <w:pPr>
              <w:spacing w:line="600" w:lineRule="exact"/>
              <w:jc w:val="center"/>
              <w:rPr>
                <w:rFonts w:hint="eastAsia" w:ascii="仿宋" w:hAnsi="仿宋" w:eastAsia="仿宋" w:cs="仿宋"/>
                <w:b/>
                <w:bCs/>
                <w:sz w:val="28"/>
                <w:szCs w:val="28"/>
              </w:rPr>
            </w:pPr>
            <w:r>
              <w:rPr>
                <w:rFonts w:hint="eastAsia" w:ascii="仿宋" w:hAnsi="仿宋" w:eastAsia="仿宋" w:cs="仿宋"/>
                <w:b/>
                <w:bCs/>
                <w:sz w:val="28"/>
                <w:szCs w:val="28"/>
              </w:rPr>
              <w:t>2022年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72" w:type="dxa"/>
            <w:gridSpan w:val="5"/>
            <w:shd w:val="clear" w:color="auto" w:fill="DEEBF6" w:themeFill="accent1" w:themeFillTint="32"/>
            <w:vAlign w:val="center"/>
          </w:tcPr>
          <w:p>
            <w:pPr>
              <w:spacing w:line="600" w:lineRule="exact"/>
              <w:jc w:val="center"/>
              <w:rPr>
                <w:rFonts w:hint="eastAsia" w:ascii="仿宋" w:hAnsi="仿宋" w:eastAsia="仿宋" w:cs="仿宋"/>
                <w:sz w:val="24"/>
              </w:rPr>
            </w:pPr>
            <w:r>
              <w:rPr>
                <w:rFonts w:hint="eastAsia" w:ascii="仿宋" w:hAnsi="仿宋" w:eastAsia="仿宋" w:cs="仿宋"/>
                <w:b/>
                <w:bCs/>
                <w:sz w:val="28"/>
                <w:szCs w:val="28"/>
              </w:rPr>
              <w:t>经济责任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资产总额</w:t>
            </w:r>
          </w:p>
        </w:tc>
        <w:tc>
          <w:tcPr>
            <w:tcW w:w="1134"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万元</w:t>
            </w:r>
          </w:p>
        </w:tc>
        <w:tc>
          <w:tcPr>
            <w:tcW w:w="1701" w:type="dxa"/>
            <w:vAlign w:val="center"/>
          </w:tcPr>
          <w:p>
            <w:pPr>
              <w:spacing w:line="600" w:lineRule="exact"/>
              <w:jc w:val="center"/>
              <w:rPr>
                <w:rFonts w:hint="eastAsia" w:ascii="仿宋" w:hAnsi="仿宋" w:eastAsia="仿宋" w:cs="仿宋"/>
                <w:sz w:val="24"/>
              </w:rPr>
            </w:pPr>
            <w:r>
              <w:rPr>
                <w:rFonts w:ascii="仿宋" w:hAnsi="仿宋" w:eastAsia="仿宋" w:cs="仿宋"/>
                <w:sz w:val="24"/>
              </w:rPr>
              <w:t>196242.03</w:t>
            </w:r>
          </w:p>
        </w:tc>
        <w:tc>
          <w:tcPr>
            <w:tcW w:w="1701" w:type="dxa"/>
            <w:vAlign w:val="center"/>
          </w:tcPr>
          <w:p>
            <w:pPr>
              <w:spacing w:line="600" w:lineRule="exact"/>
              <w:jc w:val="center"/>
              <w:rPr>
                <w:rFonts w:hint="eastAsia" w:ascii="仿宋" w:hAnsi="仿宋" w:eastAsia="仿宋" w:cs="仿宋"/>
                <w:sz w:val="24"/>
              </w:rPr>
            </w:pPr>
            <w:r>
              <w:rPr>
                <w:rFonts w:ascii="仿宋" w:hAnsi="仿宋" w:eastAsia="仿宋" w:cs="仿宋"/>
                <w:sz w:val="24"/>
              </w:rPr>
              <w:t>219374.18</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217557.15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存款余额</w:t>
            </w:r>
          </w:p>
        </w:tc>
        <w:tc>
          <w:tcPr>
            <w:tcW w:w="1134"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万元</w:t>
            </w:r>
          </w:p>
        </w:tc>
        <w:tc>
          <w:tcPr>
            <w:tcW w:w="1701" w:type="dxa"/>
            <w:vAlign w:val="center"/>
          </w:tcPr>
          <w:p>
            <w:pPr>
              <w:spacing w:line="600" w:lineRule="exact"/>
              <w:jc w:val="center"/>
              <w:rPr>
                <w:rFonts w:hint="eastAsia" w:ascii="仿宋" w:hAnsi="仿宋" w:eastAsia="仿宋" w:cs="仿宋"/>
                <w:sz w:val="24"/>
              </w:rPr>
            </w:pPr>
            <w:r>
              <w:rPr>
                <w:rFonts w:ascii="仿宋" w:hAnsi="仿宋" w:eastAsia="仿宋" w:cs="仿宋"/>
                <w:sz w:val="24"/>
              </w:rPr>
              <w:t>177701.13</w:t>
            </w:r>
          </w:p>
        </w:tc>
        <w:tc>
          <w:tcPr>
            <w:tcW w:w="1701" w:type="dxa"/>
            <w:vAlign w:val="center"/>
          </w:tcPr>
          <w:p>
            <w:pPr>
              <w:spacing w:line="600" w:lineRule="exact"/>
              <w:jc w:val="center"/>
              <w:rPr>
                <w:rFonts w:hint="eastAsia" w:ascii="仿宋" w:hAnsi="仿宋" w:eastAsia="仿宋" w:cs="仿宋"/>
                <w:sz w:val="24"/>
              </w:rPr>
            </w:pPr>
            <w:r>
              <w:rPr>
                <w:rFonts w:ascii="仿宋" w:hAnsi="仿宋" w:eastAsia="仿宋" w:cs="仿宋"/>
                <w:sz w:val="24"/>
              </w:rPr>
              <w:t>201680</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199290.16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贷款余额</w:t>
            </w:r>
          </w:p>
        </w:tc>
        <w:tc>
          <w:tcPr>
            <w:tcW w:w="1134"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万元</w:t>
            </w:r>
          </w:p>
        </w:tc>
        <w:tc>
          <w:tcPr>
            <w:tcW w:w="1701" w:type="dxa"/>
            <w:vAlign w:val="center"/>
          </w:tcPr>
          <w:p>
            <w:pPr>
              <w:spacing w:line="600" w:lineRule="exact"/>
              <w:jc w:val="center"/>
              <w:rPr>
                <w:rFonts w:hint="eastAsia" w:ascii="仿宋" w:hAnsi="仿宋" w:eastAsia="仿宋" w:cs="仿宋"/>
                <w:sz w:val="24"/>
              </w:rPr>
            </w:pPr>
            <w:r>
              <w:rPr>
                <w:rFonts w:ascii="仿宋" w:hAnsi="仿宋" w:eastAsia="仿宋" w:cs="仿宋"/>
                <w:sz w:val="24"/>
              </w:rPr>
              <w:t>100575.42</w:t>
            </w:r>
          </w:p>
        </w:tc>
        <w:tc>
          <w:tcPr>
            <w:tcW w:w="1701" w:type="dxa"/>
            <w:vAlign w:val="center"/>
          </w:tcPr>
          <w:p>
            <w:pPr>
              <w:spacing w:line="600" w:lineRule="exact"/>
              <w:jc w:val="center"/>
              <w:rPr>
                <w:rFonts w:hint="eastAsia" w:ascii="仿宋" w:hAnsi="仿宋" w:eastAsia="仿宋" w:cs="仿宋"/>
                <w:sz w:val="24"/>
              </w:rPr>
            </w:pPr>
            <w:r>
              <w:rPr>
                <w:rFonts w:ascii="仿宋" w:hAnsi="仿宋" w:eastAsia="仿宋" w:cs="仿宋"/>
                <w:sz w:val="24"/>
              </w:rPr>
              <w:t>96385.23</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90356.21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营业收入</w:t>
            </w:r>
          </w:p>
        </w:tc>
        <w:tc>
          <w:tcPr>
            <w:tcW w:w="1134"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万元</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8326.14</w:t>
            </w:r>
          </w:p>
        </w:tc>
        <w:tc>
          <w:tcPr>
            <w:tcW w:w="1701" w:type="dxa"/>
            <w:vAlign w:val="center"/>
          </w:tcPr>
          <w:p>
            <w:pPr>
              <w:spacing w:line="600" w:lineRule="exact"/>
              <w:jc w:val="center"/>
              <w:rPr>
                <w:rFonts w:hint="eastAsia" w:ascii="仿宋" w:hAnsi="仿宋" w:eastAsia="仿宋" w:cs="仿宋"/>
                <w:sz w:val="24"/>
              </w:rPr>
            </w:pPr>
            <w:r>
              <w:rPr>
                <w:rFonts w:ascii="仿宋" w:hAnsi="仿宋" w:eastAsia="仿宋" w:cs="仿宋"/>
                <w:sz w:val="24"/>
              </w:rPr>
              <w:t>8622.74</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8544.1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员工薪酬</w:t>
            </w:r>
          </w:p>
        </w:tc>
        <w:tc>
          <w:tcPr>
            <w:tcW w:w="1134"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万元</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1109.70</w:t>
            </w:r>
          </w:p>
        </w:tc>
        <w:tc>
          <w:tcPr>
            <w:tcW w:w="1701" w:type="dxa"/>
            <w:vAlign w:val="center"/>
          </w:tcPr>
          <w:p>
            <w:pPr>
              <w:spacing w:line="600" w:lineRule="exact"/>
              <w:jc w:val="center"/>
              <w:rPr>
                <w:rFonts w:hint="eastAsia" w:ascii="仿宋" w:hAnsi="仿宋" w:eastAsia="仿宋" w:cs="仿宋"/>
                <w:sz w:val="24"/>
              </w:rPr>
            </w:pPr>
            <w:r>
              <w:rPr>
                <w:rFonts w:ascii="仿宋" w:hAnsi="仿宋" w:eastAsia="仿宋" w:cs="仿宋"/>
                <w:sz w:val="24"/>
              </w:rPr>
              <w:t>985.37</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1186.84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利息支出</w:t>
            </w:r>
          </w:p>
        </w:tc>
        <w:tc>
          <w:tcPr>
            <w:tcW w:w="1134"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万元</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4735.88</w:t>
            </w:r>
          </w:p>
        </w:tc>
        <w:tc>
          <w:tcPr>
            <w:tcW w:w="1701" w:type="dxa"/>
            <w:vAlign w:val="center"/>
          </w:tcPr>
          <w:p>
            <w:pPr>
              <w:spacing w:line="600" w:lineRule="exact"/>
              <w:jc w:val="center"/>
              <w:rPr>
                <w:rFonts w:hint="eastAsia" w:ascii="仿宋" w:hAnsi="仿宋" w:eastAsia="仿宋" w:cs="仿宋"/>
                <w:sz w:val="24"/>
              </w:rPr>
            </w:pPr>
            <w:r>
              <w:rPr>
                <w:rFonts w:ascii="仿宋" w:hAnsi="仿宋" w:eastAsia="仿宋" w:cs="仿宋"/>
                <w:sz w:val="24"/>
              </w:rPr>
              <w:t>5566.52</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5634.89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纳税总额</w:t>
            </w:r>
          </w:p>
        </w:tc>
        <w:tc>
          <w:tcPr>
            <w:tcW w:w="1134"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万元</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132.65</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117.44</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156.26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净利润</w:t>
            </w:r>
          </w:p>
        </w:tc>
        <w:tc>
          <w:tcPr>
            <w:tcW w:w="1134"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万元</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1369.02</w:t>
            </w:r>
          </w:p>
        </w:tc>
        <w:tc>
          <w:tcPr>
            <w:tcW w:w="1701" w:type="dxa"/>
            <w:vAlign w:val="center"/>
          </w:tcPr>
          <w:p>
            <w:pPr>
              <w:spacing w:line="600" w:lineRule="exact"/>
              <w:jc w:val="center"/>
              <w:rPr>
                <w:rFonts w:hint="eastAsia" w:ascii="仿宋" w:hAnsi="仿宋" w:eastAsia="仿宋" w:cs="仿宋"/>
                <w:sz w:val="24"/>
              </w:rPr>
            </w:pPr>
            <w:r>
              <w:rPr>
                <w:rFonts w:ascii="仿宋" w:hAnsi="仿宋" w:eastAsia="仿宋" w:cs="仿宋"/>
                <w:sz w:val="24"/>
              </w:rPr>
              <w:t>200.16</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927.68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资产收益率</w:t>
            </w:r>
          </w:p>
        </w:tc>
        <w:tc>
          <w:tcPr>
            <w:tcW w:w="1134"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0.7</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0.09</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净资产收益率</w:t>
            </w:r>
          </w:p>
        </w:tc>
        <w:tc>
          <w:tcPr>
            <w:tcW w:w="1134"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13.3</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2.27</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11.23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核心资产充足率</w:t>
            </w:r>
          </w:p>
        </w:tc>
        <w:tc>
          <w:tcPr>
            <w:tcW w:w="1134"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12.75</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9.66</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11.50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资本充足率</w:t>
            </w:r>
          </w:p>
        </w:tc>
        <w:tc>
          <w:tcPr>
            <w:tcW w:w="1134"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17.02</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10.82</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12.66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35"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不良贷款率</w:t>
            </w:r>
          </w:p>
        </w:tc>
        <w:tc>
          <w:tcPr>
            <w:tcW w:w="1134"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1.07</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1.38</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拨备覆盖率</w:t>
            </w:r>
          </w:p>
        </w:tc>
        <w:tc>
          <w:tcPr>
            <w:tcW w:w="1134"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416.53</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337.47</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291.4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35"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涉农贷款余额</w:t>
            </w:r>
          </w:p>
        </w:tc>
        <w:tc>
          <w:tcPr>
            <w:tcW w:w="1134"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万元</w:t>
            </w:r>
          </w:p>
        </w:tc>
        <w:tc>
          <w:tcPr>
            <w:tcW w:w="1701" w:type="dxa"/>
            <w:vAlign w:val="center"/>
          </w:tcPr>
          <w:p>
            <w:pPr>
              <w:spacing w:line="600" w:lineRule="exact"/>
              <w:jc w:val="center"/>
              <w:rPr>
                <w:rFonts w:hint="eastAsia" w:ascii="仿宋" w:hAnsi="仿宋" w:eastAsia="仿宋" w:cs="仿宋"/>
                <w:sz w:val="24"/>
              </w:rPr>
            </w:pPr>
            <w:r>
              <w:rPr>
                <w:rFonts w:ascii="仿宋" w:hAnsi="仿宋" w:eastAsia="仿宋" w:cs="仿宋"/>
                <w:sz w:val="24"/>
              </w:rPr>
              <w:t>91530.93</w:t>
            </w:r>
          </w:p>
        </w:tc>
        <w:tc>
          <w:tcPr>
            <w:tcW w:w="1701" w:type="dxa"/>
            <w:vAlign w:val="center"/>
          </w:tcPr>
          <w:p>
            <w:pPr>
              <w:spacing w:line="600" w:lineRule="exact"/>
              <w:jc w:val="center"/>
              <w:rPr>
                <w:rFonts w:hint="eastAsia" w:ascii="仿宋" w:hAnsi="仿宋" w:eastAsia="仿宋" w:cs="仿宋"/>
                <w:sz w:val="24"/>
              </w:rPr>
            </w:pPr>
            <w:r>
              <w:rPr>
                <w:rFonts w:ascii="仿宋" w:hAnsi="仿宋" w:eastAsia="仿宋" w:cs="仿宋"/>
                <w:sz w:val="24"/>
              </w:rPr>
              <w:t>84950.16</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72612.74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小微企业贷款余额</w:t>
            </w:r>
          </w:p>
        </w:tc>
        <w:tc>
          <w:tcPr>
            <w:tcW w:w="1134"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万元</w:t>
            </w:r>
          </w:p>
        </w:tc>
        <w:tc>
          <w:tcPr>
            <w:tcW w:w="1701" w:type="dxa"/>
            <w:vAlign w:val="center"/>
          </w:tcPr>
          <w:p>
            <w:pPr>
              <w:spacing w:line="600" w:lineRule="exact"/>
              <w:jc w:val="center"/>
              <w:rPr>
                <w:rFonts w:hint="eastAsia" w:ascii="仿宋" w:hAnsi="仿宋" w:eastAsia="仿宋" w:cs="仿宋"/>
                <w:sz w:val="24"/>
              </w:rPr>
            </w:pPr>
            <w:r>
              <w:rPr>
                <w:rFonts w:ascii="仿宋" w:hAnsi="仿宋" w:eastAsia="仿宋" w:cs="仿宋"/>
                <w:sz w:val="24"/>
              </w:rPr>
              <w:t>64992.46</w:t>
            </w:r>
          </w:p>
        </w:tc>
        <w:tc>
          <w:tcPr>
            <w:tcW w:w="1701" w:type="dxa"/>
            <w:vAlign w:val="center"/>
          </w:tcPr>
          <w:p>
            <w:pPr>
              <w:spacing w:line="600" w:lineRule="exact"/>
              <w:jc w:val="center"/>
              <w:rPr>
                <w:rFonts w:hint="eastAsia" w:ascii="仿宋" w:hAnsi="仿宋" w:eastAsia="仿宋" w:cs="仿宋"/>
                <w:sz w:val="24"/>
              </w:rPr>
            </w:pPr>
            <w:r>
              <w:rPr>
                <w:rFonts w:ascii="仿宋" w:hAnsi="仿宋" w:eastAsia="仿宋" w:cs="仿宋"/>
                <w:sz w:val="24"/>
              </w:rPr>
              <w:t>55321.65</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41261.16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72" w:type="dxa"/>
            <w:gridSpan w:val="5"/>
            <w:shd w:val="clear" w:color="auto" w:fill="DEEBF6" w:themeFill="accent1" w:themeFillTint="32"/>
            <w:vAlign w:val="center"/>
          </w:tcPr>
          <w:p>
            <w:pPr>
              <w:spacing w:line="600" w:lineRule="exact"/>
              <w:jc w:val="center"/>
              <w:rPr>
                <w:rFonts w:hint="eastAsia" w:ascii="仿宋" w:hAnsi="仿宋" w:eastAsia="仿宋" w:cs="仿宋"/>
                <w:sz w:val="24"/>
                <w:highlight w:val="green"/>
              </w:rPr>
            </w:pPr>
            <w:r>
              <w:rPr>
                <w:rFonts w:hint="eastAsia" w:ascii="仿宋" w:hAnsi="仿宋" w:eastAsia="仿宋" w:cs="仿宋"/>
                <w:b/>
                <w:bCs/>
                <w:sz w:val="28"/>
                <w:szCs w:val="28"/>
              </w:rPr>
              <w:t>社会责任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公益捐赠</w:t>
            </w:r>
          </w:p>
        </w:tc>
        <w:tc>
          <w:tcPr>
            <w:tcW w:w="1134"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万元</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0</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0</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tabs>
                <w:tab w:val="left" w:pos="1890"/>
              </w:tabs>
              <w:spacing w:line="600" w:lineRule="exact"/>
              <w:jc w:val="center"/>
              <w:rPr>
                <w:rFonts w:hint="eastAsia" w:ascii="仿宋" w:hAnsi="仿宋" w:eastAsia="仿宋" w:cs="仿宋"/>
                <w:sz w:val="24"/>
              </w:rPr>
            </w:pPr>
            <w:r>
              <w:rPr>
                <w:rFonts w:hint="eastAsia" w:ascii="仿宋" w:hAnsi="仿宋" w:eastAsia="仿宋" w:cs="仿宋"/>
                <w:sz w:val="24"/>
              </w:rPr>
              <w:t>消费者权益保护费支出</w:t>
            </w:r>
          </w:p>
        </w:tc>
        <w:tc>
          <w:tcPr>
            <w:tcW w:w="1134"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万元</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1</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1</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员工总数</w:t>
            </w:r>
          </w:p>
        </w:tc>
        <w:tc>
          <w:tcPr>
            <w:tcW w:w="1134"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人</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68</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67</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女性员工占比</w:t>
            </w:r>
          </w:p>
        </w:tc>
        <w:tc>
          <w:tcPr>
            <w:tcW w:w="1134"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51.47%</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55.00</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54.55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员工流失率</w:t>
            </w:r>
          </w:p>
        </w:tc>
        <w:tc>
          <w:tcPr>
            <w:tcW w:w="1134"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5.56%</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3.00</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72" w:type="dxa"/>
            <w:gridSpan w:val="5"/>
            <w:shd w:val="clear" w:color="auto" w:fill="DEEBF6" w:themeFill="accent1" w:themeFillTint="32"/>
            <w:vAlign w:val="center"/>
          </w:tcPr>
          <w:p>
            <w:pPr>
              <w:spacing w:line="600" w:lineRule="exact"/>
              <w:jc w:val="center"/>
              <w:rPr>
                <w:rFonts w:hint="eastAsia" w:ascii="仿宋" w:hAnsi="仿宋" w:eastAsia="仿宋" w:cs="仿宋"/>
                <w:sz w:val="24"/>
              </w:rPr>
            </w:pPr>
            <w:r>
              <w:rPr>
                <w:rFonts w:hint="eastAsia" w:ascii="仿宋" w:hAnsi="仿宋" w:eastAsia="仿宋" w:cs="仿宋"/>
                <w:b/>
                <w:bCs/>
                <w:sz w:val="28"/>
                <w:szCs w:val="28"/>
              </w:rPr>
              <w:t>环境责任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人均办公耗电</w:t>
            </w:r>
          </w:p>
        </w:tc>
        <w:tc>
          <w:tcPr>
            <w:tcW w:w="1134"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度</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4400</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4800</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4852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人均办公耗水</w:t>
            </w:r>
          </w:p>
        </w:tc>
        <w:tc>
          <w:tcPr>
            <w:tcW w:w="1134"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吨</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10</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9.2</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2835"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人均办公用纸</w:t>
            </w:r>
          </w:p>
        </w:tc>
        <w:tc>
          <w:tcPr>
            <w:tcW w:w="1134"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万张</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0.41</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0.43</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人均公务车油耗</w:t>
            </w:r>
          </w:p>
        </w:tc>
        <w:tc>
          <w:tcPr>
            <w:tcW w:w="1134"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升</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147</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145</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视频会议覆盖率</w:t>
            </w:r>
          </w:p>
        </w:tc>
        <w:tc>
          <w:tcPr>
            <w:tcW w:w="1134"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88</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84</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82</w:t>
            </w:r>
          </w:p>
        </w:tc>
      </w:tr>
    </w:tbl>
    <w:p>
      <w:pPr>
        <w:spacing w:line="600" w:lineRule="exact"/>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第二节社会责任理念</w:t>
      </w:r>
    </w:p>
    <w:p>
      <w:pPr>
        <w:spacing w:line="600" w:lineRule="exact"/>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社会责任核心理念与目标</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临清村行致力于培育优良的社会责任观，践行“诚信、责任、创新、共赢”的核心价值观，坚持“打造深耕县域、服务三农、专注专业、高效便捷、特色经营的‘小而美’小微银行的愿景，遵循普惠金融助力百姓美好生活”的企业使命，将企业社会责任融入经营管理实践，建设有效的利益相关方参与机制，主动承担经济、社会、环境责任，促进自身利益和利益相关方共同可持续发展。充分发挥金融优势，坚持绿色发展理念，积极践行经济、社会和环境三方面的责任。聚焦高质量发展目标，助推战略新兴产业，支持实体经济发展；发挥“三农”、小微和社区金融服务优势，践行普惠金融责任；以客户为中心，提升服务质量，保障金融消费者权益；关爱员工发展，积极投身公益慈善，用金融赋能社会治理；大力推进绿色金融，拓宽绿色服务渠道，推进生态环境保护建设，最大限度增进对社会和环境的积极影响。</w:t>
      </w:r>
    </w:p>
    <w:p>
      <w:pPr>
        <w:spacing w:line="600" w:lineRule="exact"/>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社会责任领域</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赋能员工发展：以人为本，保障员工权益，关爱员工身心健康，提高员工的归属感，注重员工职业规划和职业能力培养。</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专注客户体验：积极推进金融知识教育宣传活动，常态化走进社区、园区、校区等，面向金融消费者持续开展形式多样、丰富多彩的教育宣传活动、知识普及等活动，提高消费者风险意识和风险识别能力，优化提升客户体验。</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恪守诚信经营：依法合规、稳健经营，加强行业自律，重视员工职业道德教育，切实维护金融消费者权益，展现公平诚信的社会形象。</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临清村行开展了“轴承经销商现场授信”活动，工作人员与参展的轴承经销商进行了充分的沟通交流，向客户推荐了村行现阶段推出的“惠兴贷”、“惠民贷”等信贷产品，了解企业在金融服务，信贷资金需求等方面的问题，广大轴承经销商表示出对产品的浓厚兴趣。对于有信贷资金需求的客户，现场进行了申贷资料收集。</w:t>
      </w:r>
    </w:p>
    <w:p>
      <w:pPr>
        <w:pStyle w:val="2"/>
        <w:rPr>
          <w:rFonts w:hint="eastAsia" w:ascii="仿宋_GB2312" w:hAnsi="宋体" w:eastAsia="仿宋_GB2312" w:cs="仿宋_GB2312"/>
          <w:color w:val="333333"/>
          <w:spacing w:val="-1"/>
          <w:sz w:val="31"/>
          <w:szCs w:val="31"/>
          <w:shd w:val="clear" w:color="auto" w:fill="FFFFFF"/>
        </w:rPr>
      </w:pPr>
      <w:r>
        <w:rPr>
          <w:rFonts w:hint="eastAsia" w:ascii="仿宋_GB2312" w:hAnsi="宋体" w:eastAsia="仿宋_GB2312" w:cs="仿宋_GB2312"/>
          <w:color w:val="333333"/>
          <w:spacing w:val="-1"/>
          <w:sz w:val="31"/>
          <w:szCs w:val="31"/>
          <w:shd w:val="clear" w:color="auto" w:fill="FFFFFF"/>
        </w:rPr>
        <w:drawing>
          <wp:inline distT="0" distB="0" distL="114300" distR="114300">
            <wp:extent cx="4074795" cy="3054985"/>
            <wp:effectExtent l="0" t="0" r="1905" b="12065"/>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6"/>
                    <a:stretch>
                      <a:fillRect/>
                    </a:stretch>
                  </pic:blipFill>
                  <pic:spPr>
                    <a:xfrm>
                      <a:off x="0" y="0"/>
                      <a:ext cx="4074795" cy="3054985"/>
                    </a:xfrm>
                    <a:prstGeom prst="rect">
                      <a:avLst/>
                    </a:prstGeom>
                  </pic:spPr>
                </pic:pic>
              </a:graphicData>
            </a:graphic>
          </wp:inline>
        </w:drawing>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临清村行利用网点阵地作用，开展有温度的主题宣传活动，积极开展金融知识普及宣传教育活动，提高客户的金融知识水平，为履行社会责任作出积极贡献。</w:t>
      </w:r>
    </w:p>
    <w:p>
      <w:pPr>
        <w:pStyle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187575" cy="1640205"/>
            <wp:effectExtent l="0" t="0" r="3175" b="17145"/>
            <wp:docPr id="5" name="图片 5" descr="微信图片_2024031517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40315170049"/>
                    <pic:cNvPicPr>
                      <a:picLocks noChangeAspect="1"/>
                    </pic:cNvPicPr>
                  </pic:nvPicPr>
                  <pic:blipFill>
                    <a:blip r:embed="rId7"/>
                    <a:stretch>
                      <a:fillRect/>
                    </a:stretch>
                  </pic:blipFill>
                  <pic:spPr>
                    <a:xfrm>
                      <a:off x="0" y="0"/>
                      <a:ext cx="2187575" cy="1640205"/>
                    </a:xfrm>
                    <a:prstGeom prst="rect">
                      <a:avLst/>
                    </a:prstGeom>
                  </pic:spPr>
                </pic:pic>
              </a:graphicData>
            </a:graphic>
          </wp:inline>
        </w:drawing>
      </w:r>
      <w:r>
        <w:rPr>
          <w:rFonts w:hint="eastAsia" w:ascii="仿宋_GB2312" w:hAnsi="仿宋_GB2312" w:eastAsia="仿宋_GB2312" w:cs="仿宋_GB2312"/>
          <w:sz w:val="32"/>
          <w:szCs w:val="32"/>
        </w:rPr>
        <w:drawing>
          <wp:inline distT="0" distB="0" distL="114300" distR="114300">
            <wp:extent cx="2194560" cy="1646555"/>
            <wp:effectExtent l="0" t="0" r="15240" b="10795"/>
            <wp:docPr id="6" name="图片 6" descr="微信图片_2024031517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40315170034"/>
                    <pic:cNvPicPr>
                      <a:picLocks noChangeAspect="1"/>
                    </pic:cNvPicPr>
                  </pic:nvPicPr>
                  <pic:blipFill>
                    <a:blip r:embed="rId8"/>
                    <a:stretch>
                      <a:fillRect/>
                    </a:stretch>
                  </pic:blipFill>
                  <pic:spPr>
                    <a:xfrm>
                      <a:off x="0" y="0"/>
                      <a:ext cx="2194560" cy="1646555"/>
                    </a:xfrm>
                    <a:prstGeom prst="rect">
                      <a:avLst/>
                    </a:prstGeom>
                  </pic:spPr>
                </pic:pic>
              </a:graphicData>
            </a:graphic>
          </wp:inline>
        </w:drawing>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有效解决服务半径短的问题，临清村行不断延伸金融服务触角，携带便捷式移动终端开展外拓业务，推广便民、惠民、利民服务，为群众做实事。居民纷纷集中到社区服务点领取宣传材料，咨询金融产品问题，切实感受到本行的热心便民服务。</w:t>
      </w:r>
    </w:p>
    <w:p>
      <w:pPr>
        <w:spacing w:line="600" w:lineRule="exact"/>
        <w:ind w:firstLine="643" w:firstLineChars="200"/>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第三节  社会责任管理</w:t>
      </w:r>
    </w:p>
    <w:p>
      <w:pPr>
        <w:spacing w:line="60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党建引领</w:t>
      </w:r>
    </w:p>
    <w:p>
      <w:pPr>
        <w:widowControl/>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临清村行认真贯彻落实上级党委工作要求，着力构建党的领导和公司治理有机融合的制度框架，把党的领导融入公司治理各环节，将党建工作要求写入公司章程，健全公司党组织议事决策机制。在领导班子的密切配合下，始终以习近平新时代中国特色社会主义思想为指导，全面贯彻落实党的路线方针政策，深入构建“理论学习”“队伍建设”“廉政责任”三位一体机制，把党建工作和整体工作目标同部署、同检查、同落实，为各项工作的开展提供了思想基础和组织保障。</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临清村行通过党建引领，进一步将全行思想统一到公司可持续发展能力和支持实体经济上，树立良好的社会声誉和品牌形象。</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2024年5月17日，临清村行党支部带领全体党员以及部分干部职工前往全国重点文物保护单位、本地廉洁教育文化基地——临清运河钞关，开展主题党日活动。2024年6月15日，临清村行党支部前往聊城市孔繁森同志纪念馆开展迎“七一”主题党日活动，学习孔繁森同志忠诚、干净、担当，两次进藏、历时十载，用生命践行使命的坚强党性与崇高精神。该行干部职工通过认真倾听廉政故事、感悟廉政底蕴，更加体会到正风肃纪、廉洁自律的重要性，将时刻坚守初心、廉洁从业，立足岗位积极做事，主动担当作为，为推动乡村振兴贡献力量。</w:t>
      </w:r>
    </w:p>
    <w:p>
      <w:pPr>
        <w:ind w:firstLine="560" w:firstLineChars="200"/>
        <w:jc w:val="left"/>
        <w:rPr>
          <w:rFonts w:hint="eastAsia" w:ascii="仿宋" w:hAnsi="仿宋" w:eastAsia="仿宋" w:cs="仿宋"/>
          <w:sz w:val="28"/>
          <w:szCs w:val="28"/>
        </w:rPr>
      </w:pPr>
      <w:r>
        <w:rPr>
          <w:rFonts w:ascii="仿宋" w:hAnsi="仿宋" w:eastAsia="仿宋" w:cs="仿宋"/>
          <w:sz w:val="28"/>
          <w:szCs w:val="28"/>
        </w:rPr>
        <w:drawing>
          <wp:inline distT="0" distB="0" distL="114300" distR="114300">
            <wp:extent cx="2292985" cy="1719580"/>
            <wp:effectExtent l="0" t="0" r="12065" b="13970"/>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pic:cNvPicPr>
                  </pic:nvPicPr>
                  <pic:blipFill>
                    <a:blip r:embed="rId9"/>
                    <a:stretch>
                      <a:fillRect/>
                    </a:stretch>
                  </pic:blipFill>
                  <pic:spPr>
                    <a:xfrm>
                      <a:off x="0" y="0"/>
                      <a:ext cx="2292985" cy="1719580"/>
                    </a:xfrm>
                    <a:prstGeom prst="rect">
                      <a:avLst/>
                    </a:prstGeom>
                  </pic:spPr>
                </pic:pic>
              </a:graphicData>
            </a:graphic>
          </wp:inline>
        </w:drawing>
      </w:r>
      <w:r>
        <w:rPr>
          <w:rFonts w:ascii="仿宋" w:hAnsi="仿宋" w:eastAsia="仿宋" w:cs="仿宋"/>
          <w:sz w:val="28"/>
          <w:szCs w:val="28"/>
        </w:rPr>
        <w:drawing>
          <wp:inline distT="0" distB="0" distL="114300" distR="114300">
            <wp:extent cx="2299970" cy="1724660"/>
            <wp:effectExtent l="0" t="0" r="5080" b="8890"/>
            <wp:docPr id="9" name="图片 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2"/>
                    <pic:cNvPicPr>
                      <a:picLocks noChangeAspect="1"/>
                    </pic:cNvPicPr>
                  </pic:nvPicPr>
                  <pic:blipFill>
                    <a:blip r:embed="rId10"/>
                    <a:stretch>
                      <a:fillRect/>
                    </a:stretch>
                  </pic:blipFill>
                  <pic:spPr>
                    <a:xfrm>
                      <a:off x="0" y="0"/>
                      <a:ext cx="2299970" cy="1724660"/>
                    </a:xfrm>
                    <a:prstGeom prst="rect">
                      <a:avLst/>
                    </a:prstGeom>
                  </pic:spPr>
                </pic:pic>
              </a:graphicData>
            </a:graphic>
          </wp:inline>
        </w:drawing>
      </w:r>
    </w:p>
    <w:p>
      <w:pPr>
        <w:spacing w:line="600" w:lineRule="exact"/>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公司治理</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2024年，临清村行共召开股东大会1次，审议或听取议案19项。股东大会的召集、召开，出席会议的人员资格，表决程序均符合法律、法规和公司章程的规定，股东大会通过的各项决议合法有效。</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报告期内，临清村行董事会召开16次会议，审议或听取议案121项。全体董事诚信、专业、勤勉、尽责，严格按照《公司法》、公司章程和公司治理程序，切实保护股东的合法权益，关注和维护存款人和其他利益相关者的利益，有效履行受托职责。</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报告期内，临清村行监事会召开8次会议，审议或听取议案55项。全体监事勤勉敬业，认真履职，积极参加监事会会议，出席股东大会，列席董事会会议，独立发表意见。</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报告期内，临清村行高级管理层在董事会的授权和监事会的监督下，积极落实国家的法律法规和《公司章程》的有关规定，工作符合股东大会和董事会的决议要求，坚持依法合规经营，稳步推进业务拓展与风险控制、探索创新与全面发展的有机结合，内控管理水平不断提升,较好完成了全年工作任务。</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临清村行以“促合规、控风险、稳发展”为目标，在守法合规管理方面主抓内控合规治理框架、完善制度流程、细化内部问责标准、狠抓重要岗位关键人员管理等工作。在反腐倡廉、治理商业贿赂方面，临清村行实施企业内部风险控制，加强教育、监督、惩罚的力度，向各级工作人员传达“清廉金融”精神，开展廉洁从业教育和培训。</w:t>
      </w:r>
    </w:p>
    <w:p>
      <w:pPr>
        <w:spacing w:line="600" w:lineRule="exact"/>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投资者关系管理</w:t>
      </w:r>
    </w:p>
    <w:p>
      <w:pPr>
        <w:widowControl/>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临清村行不断加强投资者沟通交流，维护股东合法权益。2020年，临清村行根据中国银保监会办公厅《关于做好&lt;商业银行股权托管办法&gt;实施相关工作的通知》（银保监办发〔2019〕156号）启动了股权托管工作，进一步提高了股权透明度，提升了股东服务水平。</w:t>
      </w:r>
    </w:p>
    <w:p>
      <w:pPr>
        <w:widowControl/>
        <w:spacing w:line="600" w:lineRule="exact"/>
        <w:jc w:val="both"/>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利益相关方沟通</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3118"/>
        <w:gridCol w:w="3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shd w:val="clear" w:color="auto" w:fill="DEEBF6" w:themeFill="accent1" w:themeFillTint="32"/>
            <w:vAlign w:val="center"/>
          </w:tcPr>
          <w:p>
            <w:pPr>
              <w:spacing w:line="600" w:lineRule="exact"/>
              <w:jc w:val="center"/>
              <w:rPr>
                <w:rFonts w:hint="eastAsia" w:ascii="仿宋" w:hAnsi="仿宋" w:eastAsia="仿宋" w:cs="仿宋"/>
                <w:b/>
                <w:bCs/>
                <w:sz w:val="28"/>
                <w:szCs w:val="28"/>
              </w:rPr>
            </w:pPr>
            <w:r>
              <w:rPr>
                <w:rFonts w:hint="eastAsia" w:ascii="仿宋" w:hAnsi="仿宋" w:eastAsia="仿宋" w:cs="仿宋"/>
                <w:b/>
                <w:bCs/>
                <w:sz w:val="28"/>
                <w:szCs w:val="28"/>
              </w:rPr>
              <w:t>利益相关方</w:t>
            </w:r>
          </w:p>
        </w:tc>
        <w:tc>
          <w:tcPr>
            <w:tcW w:w="3118" w:type="dxa"/>
            <w:shd w:val="clear" w:color="auto" w:fill="DEEBF6" w:themeFill="accent1" w:themeFillTint="32"/>
            <w:vAlign w:val="center"/>
          </w:tcPr>
          <w:p>
            <w:pPr>
              <w:spacing w:line="600" w:lineRule="exact"/>
              <w:jc w:val="center"/>
              <w:rPr>
                <w:rFonts w:hint="eastAsia" w:ascii="仿宋" w:hAnsi="仿宋" w:eastAsia="仿宋" w:cs="仿宋"/>
                <w:b/>
                <w:bCs/>
                <w:sz w:val="28"/>
                <w:szCs w:val="28"/>
              </w:rPr>
            </w:pPr>
            <w:r>
              <w:rPr>
                <w:rFonts w:hint="eastAsia" w:ascii="仿宋" w:hAnsi="仿宋" w:eastAsia="仿宋" w:cs="仿宋"/>
                <w:b/>
                <w:bCs/>
                <w:sz w:val="28"/>
                <w:szCs w:val="28"/>
              </w:rPr>
              <w:t>期望</w:t>
            </w:r>
          </w:p>
        </w:tc>
        <w:tc>
          <w:tcPr>
            <w:tcW w:w="3968" w:type="dxa"/>
            <w:shd w:val="clear" w:color="auto" w:fill="DEEBF6" w:themeFill="accent1" w:themeFillTint="32"/>
            <w:vAlign w:val="center"/>
          </w:tcPr>
          <w:p>
            <w:pPr>
              <w:spacing w:line="600" w:lineRule="exact"/>
              <w:jc w:val="center"/>
              <w:rPr>
                <w:rFonts w:hint="eastAsia" w:ascii="仿宋" w:hAnsi="仿宋" w:eastAsia="仿宋" w:cs="仿宋"/>
                <w:b/>
                <w:bCs/>
                <w:sz w:val="28"/>
                <w:szCs w:val="28"/>
              </w:rPr>
            </w:pPr>
            <w:r>
              <w:rPr>
                <w:rFonts w:hint="eastAsia" w:ascii="仿宋" w:hAnsi="仿宋" w:eastAsia="仿宋" w:cs="仿宋"/>
                <w:b/>
                <w:bCs/>
                <w:sz w:val="28"/>
                <w:szCs w:val="28"/>
              </w:rPr>
              <w:t>回应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政府</w:t>
            </w:r>
          </w:p>
        </w:tc>
        <w:tc>
          <w:tcPr>
            <w:tcW w:w="3118" w:type="dxa"/>
            <w:vAlign w:val="center"/>
          </w:tcPr>
          <w:p>
            <w:pPr>
              <w:spacing w:line="600" w:lineRule="exact"/>
              <w:jc w:val="left"/>
              <w:rPr>
                <w:rFonts w:hint="eastAsia" w:ascii="仿宋" w:hAnsi="仿宋" w:eastAsia="仿宋" w:cs="仿宋"/>
                <w:sz w:val="24"/>
              </w:rPr>
            </w:pPr>
            <w:r>
              <w:rPr>
                <w:rFonts w:hint="eastAsia" w:ascii="仿宋" w:hAnsi="仿宋" w:eastAsia="仿宋" w:cs="仿宋"/>
                <w:sz w:val="24"/>
              </w:rPr>
              <w:t>支持实体经济建设</w:t>
            </w:r>
          </w:p>
          <w:p>
            <w:pPr>
              <w:spacing w:line="600" w:lineRule="exact"/>
              <w:jc w:val="left"/>
              <w:rPr>
                <w:rFonts w:hint="eastAsia" w:ascii="仿宋" w:hAnsi="仿宋" w:eastAsia="仿宋" w:cs="仿宋"/>
                <w:sz w:val="24"/>
              </w:rPr>
            </w:pPr>
            <w:r>
              <w:rPr>
                <w:rFonts w:hint="eastAsia" w:ascii="仿宋" w:hAnsi="仿宋" w:eastAsia="仿宋" w:cs="仿宋"/>
                <w:sz w:val="24"/>
              </w:rPr>
              <w:t>落实乡村振兴工作部署</w:t>
            </w:r>
          </w:p>
          <w:p>
            <w:pPr>
              <w:spacing w:line="600" w:lineRule="exact"/>
              <w:jc w:val="left"/>
              <w:rPr>
                <w:rFonts w:hint="eastAsia" w:ascii="仿宋" w:hAnsi="仿宋" w:eastAsia="仿宋" w:cs="仿宋"/>
                <w:sz w:val="24"/>
              </w:rPr>
            </w:pPr>
            <w:r>
              <w:rPr>
                <w:rFonts w:hint="eastAsia" w:ascii="仿宋" w:hAnsi="仿宋" w:eastAsia="仿宋" w:cs="仿宋"/>
                <w:sz w:val="24"/>
              </w:rPr>
              <w:t>促进企业稳健发展</w:t>
            </w:r>
          </w:p>
        </w:tc>
        <w:tc>
          <w:tcPr>
            <w:tcW w:w="3968" w:type="dxa"/>
            <w:vAlign w:val="center"/>
          </w:tcPr>
          <w:p>
            <w:pPr>
              <w:spacing w:line="600" w:lineRule="exact"/>
              <w:jc w:val="left"/>
              <w:rPr>
                <w:rFonts w:hint="eastAsia" w:ascii="仿宋" w:hAnsi="仿宋" w:eastAsia="仿宋" w:cs="仿宋"/>
                <w:sz w:val="24"/>
              </w:rPr>
            </w:pPr>
            <w:r>
              <w:rPr>
                <w:rFonts w:hint="eastAsia" w:ascii="仿宋" w:hAnsi="仿宋" w:eastAsia="仿宋" w:cs="仿宋"/>
                <w:sz w:val="24"/>
              </w:rPr>
              <w:t>贯彻国家和地方政策</w:t>
            </w:r>
          </w:p>
          <w:p>
            <w:pPr>
              <w:spacing w:line="600" w:lineRule="exact"/>
              <w:jc w:val="left"/>
              <w:rPr>
                <w:rFonts w:hint="eastAsia" w:ascii="仿宋" w:hAnsi="仿宋" w:eastAsia="仿宋" w:cs="仿宋"/>
                <w:sz w:val="24"/>
              </w:rPr>
            </w:pPr>
            <w:r>
              <w:rPr>
                <w:rFonts w:hint="eastAsia" w:ascii="仿宋" w:hAnsi="仿宋" w:eastAsia="仿宋" w:cs="仿宋"/>
                <w:sz w:val="24"/>
              </w:rPr>
              <w:t>开展乡村振兴</w:t>
            </w:r>
          </w:p>
          <w:p>
            <w:pPr>
              <w:spacing w:line="600" w:lineRule="exact"/>
              <w:jc w:val="left"/>
              <w:rPr>
                <w:rFonts w:hint="eastAsia" w:ascii="仿宋" w:hAnsi="仿宋" w:eastAsia="仿宋" w:cs="仿宋"/>
                <w:sz w:val="24"/>
              </w:rPr>
            </w:pPr>
            <w:r>
              <w:rPr>
                <w:rFonts w:hint="eastAsia" w:ascii="仿宋" w:hAnsi="仿宋" w:eastAsia="仿宋" w:cs="仿宋"/>
                <w:sz w:val="24"/>
              </w:rPr>
              <w:t>明确支农支小战略定位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股东与投资者</w:t>
            </w:r>
          </w:p>
        </w:tc>
        <w:tc>
          <w:tcPr>
            <w:tcW w:w="3118" w:type="dxa"/>
            <w:vAlign w:val="center"/>
          </w:tcPr>
          <w:p>
            <w:pPr>
              <w:spacing w:line="600" w:lineRule="exact"/>
              <w:jc w:val="left"/>
              <w:rPr>
                <w:rFonts w:hint="eastAsia" w:ascii="仿宋" w:hAnsi="仿宋" w:eastAsia="仿宋" w:cs="仿宋"/>
                <w:sz w:val="24"/>
              </w:rPr>
            </w:pPr>
            <w:r>
              <w:rPr>
                <w:rFonts w:hint="eastAsia" w:ascii="仿宋" w:hAnsi="仿宋" w:eastAsia="仿宋" w:cs="仿宋"/>
                <w:sz w:val="24"/>
              </w:rPr>
              <w:t>良好的投资回报</w:t>
            </w:r>
          </w:p>
          <w:p>
            <w:pPr>
              <w:spacing w:line="600" w:lineRule="exact"/>
              <w:jc w:val="left"/>
              <w:rPr>
                <w:rFonts w:hint="eastAsia" w:ascii="仿宋" w:hAnsi="仿宋" w:eastAsia="仿宋" w:cs="仿宋"/>
                <w:sz w:val="24"/>
              </w:rPr>
            </w:pPr>
            <w:r>
              <w:rPr>
                <w:rFonts w:hint="eastAsia" w:ascii="仿宋" w:hAnsi="仿宋" w:eastAsia="仿宋" w:cs="仿宋"/>
                <w:sz w:val="24"/>
              </w:rPr>
              <w:t>全面及时的信息披露</w:t>
            </w:r>
          </w:p>
          <w:p>
            <w:pPr>
              <w:spacing w:line="600" w:lineRule="exact"/>
              <w:jc w:val="left"/>
              <w:rPr>
                <w:rFonts w:hint="eastAsia" w:ascii="仿宋" w:hAnsi="仿宋" w:eastAsia="仿宋" w:cs="仿宋"/>
                <w:sz w:val="24"/>
              </w:rPr>
            </w:pPr>
            <w:r>
              <w:rPr>
                <w:rFonts w:hint="eastAsia" w:ascii="仿宋" w:hAnsi="仿宋" w:eastAsia="仿宋" w:cs="仿宋"/>
                <w:sz w:val="24"/>
              </w:rPr>
              <w:t>健全的企业内部机制建设</w:t>
            </w:r>
          </w:p>
        </w:tc>
        <w:tc>
          <w:tcPr>
            <w:tcW w:w="3968" w:type="dxa"/>
            <w:vAlign w:val="center"/>
          </w:tcPr>
          <w:p>
            <w:pPr>
              <w:spacing w:line="600" w:lineRule="exact"/>
              <w:jc w:val="left"/>
              <w:rPr>
                <w:rFonts w:hint="eastAsia" w:ascii="仿宋" w:hAnsi="仿宋" w:eastAsia="仿宋" w:cs="仿宋"/>
                <w:sz w:val="24"/>
              </w:rPr>
            </w:pPr>
            <w:r>
              <w:rPr>
                <w:rFonts w:hint="eastAsia" w:ascii="仿宋" w:hAnsi="仿宋" w:eastAsia="仿宋" w:cs="仿宋"/>
                <w:sz w:val="24"/>
              </w:rPr>
              <w:t>全面准确地把握经济形势和当地特色，强化风险管理，创造可持续价值回报</w:t>
            </w:r>
          </w:p>
          <w:p>
            <w:pPr>
              <w:spacing w:line="600" w:lineRule="exact"/>
              <w:jc w:val="left"/>
              <w:rPr>
                <w:rFonts w:hint="eastAsia" w:ascii="仿宋" w:hAnsi="仿宋" w:eastAsia="仿宋" w:cs="仿宋"/>
                <w:sz w:val="24"/>
              </w:rPr>
            </w:pPr>
            <w:r>
              <w:rPr>
                <w:rFonts w:hint="eastAsia" w:ascii="仿宋" w:hAnsi="仿宋" w:eastAsia="仿宋" w:cs="仿宋"/>
                <w:sz w:val="24"/>
              </w:rPr>
              <w:t>准确披露信息，提高透明度</w:t>
            </w:r>
          </w:p>
          <w:p>
            <w:pPr>
              <w:spacing w:line="600" w:lineRule="exact"/>
              <w:jc w:val="left"/>
              <w:rPr>
                <w:rFonts w:hint="eastAsia" w:ascii="仿宋" w:hAnsi="仿宋" w:eastAsia="仿宋" w:cs="仿宋"/>
                <w:sz w:val="24"/>
              </w:rPr>
            </w:pPr>
            <w:r>
              <w:rPr>
                <w:rFonts w:hint="eastAsia" w:ascii="仿宋" w:hAnsi="仿宋" w:eastAsia="仿宋" w:cs="仿宋"/>
                <w:sz w:val="24"/>
              </w:rPr>
              <w:t>完善公司治理机制，依法合规、稳健经营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客户</w:t>
            </w:r>
          </w:p>
        </w:tc>
        <w:tc>
          <w:tcPr>
            <w:tcW w:w="3118" w:type="dxa"/>
            <w:vAlign w:val="center"/>
          </w:tcPr>
          <w:p>
            <w:pPr>
              <w:spacing w:line="600" w:lineRule="exact"/>
              <w:jc w:val="left"/>
              <w:rPr>
                <w:rFonts w:hint="eastAsia" w:ascii="仿宋" w:hAnsi="仿宋" w:eastAsia="仿宋" w:cs="仿宋"/>
                <w:sz w:val="24"/>
              </w:rPr>
            </w:pPr>
            <w:r>
              <w:rPr>
                <w:rFonts w:hint="eastAsia" w:ascii="仿宋" w:hAnsi="仿宋" w:eastAsia="仿宋" w:cs="仿宋"/>
                <w:sz w:val="24"/>
              </w:rPr>
              <w:t>热情、便捷的金融服务</w:t>
            </w:r>
          </w:p>
          <w:p>
            <w:pPr>
              <w:spacing w:line="600" w:lineRule="exact"/>
              <w:jc w:val="left"/>
              <w:rPr>
                <w:rFonts w:hint="eastAsia" w:ascii="仿宋" w:hAnsi="仿宋" w:eastAsia="仿宋" w:cs="仿宋"/>
                <w:sz w:val="24"/>
              </w:rPr>
            </w:pPr>
            <w:r>
              <w:rPr>
                <w:rFonts w:hint="eastAsia" w:ascii="仿宋" w:hAnsi="仿宋" w:eastAsia="仿宋" w:cs="仿宋"/>
                <w:sz w:val="24"/>
              </w:rPr>
              <w:t>满足不同需求的金融产品</w:t>
            </w:r>
          </w:p>
          <w:p>
            <w:pPr>
              <w:spacing w:line="600" w:lineRule="exact"/>
              <w:jc w:val="left"/>
              <w:rPr>
                <w:rFonts w:hint="eastAsia" w:ascii="仿宋" w:hAnsi="仿宋" w:eastAsia="仿宋" w:cs="仿宋"/>
                <w:sz w:val="24"/>
              </w:rPr>
            </w:pPr>
            <w:r>
              <w:rPr>
                <w:rFonts w:hint="eastAsia" w:ascii="仿宋" w:hAnsi="仿宋" w:eastAsia="仿宋" w:cs="仿宋"/>
                <w:sz w:val="24"/>
              </w:rPr>
              <w:t>倾听客户的意见</w:t>
            </w:r>
          </w:p>
        </w:tc>
        <w:tc>
          <w:tcPr>
            <w:tcW w:w="3968" w:type="dxa"/>
            <w:vAlign w:val="center"/>
          </w:tcPr>
          <w:p>
            <w:pPr>
              <w:spacing w:line="600" w:lineRule="exact"/>
              <w:jc w:val="left"/>
              <w:rPr>
                <w:rFonts w:hint="eastAsia" w:ascii="仿宋" w:hAnsi="仿宋" w:eastAsia="仿宋" w:cs="仿宋"/>
                <w:sz w:val="24"/>
              </w:rPr>
            </w:pPr>
            <w:r>
              <w:rPr>
                <w:rFonts w:hint="eastAsia" w:ascii="仿宋" w:hAnsi="仿宋" w:eastAsia="仿宋" w:cs="仿宋"/>
                <w:sz w:val="24"/>
              </w:rPr>
              <w:t>强化员工服务意识和业务能力</w:t>
            </w:r>
          </w:p>
          <w:p>
            <w:pPr>
              <w:spacing w:line="600" w:lineRule="exact"/>
              <w:jc w:val="left"/>
              <w:rPr>
                <w:rFonts w:hint="eastAsia" w:ascii="仿宋" w:hAnsi="仿宋" w:eastAsia="仿宋" w:cs="仿宋"/>
                <w:sz w:val="24"/>
              </w:rPr>
            </w:pPr>
            <w:r>
              <w:rPr>
                <w:rFonts w:hint="eastAsia" w:ascii="仿宋" w:hAnsi="仿宋" w:eastAsia="仿宋" w:cs="仿宋"/>
                <w:sz w:val="24"/>
              </w:rPr>
              <w:t>创新金融产品的种类与模式</w:t>
            </w:r>
          </w:p>
          <w:p>
            <w:pPr>
              <w:spacing w:line="600" w:lineRule="exact"/>
              <w:jc w:val="left"/>
              <w:rPr>
                <w:rFonts w:hint="eastAsia" w:ascii="仿宋" w:hAnsi="仿宋" w:eastAsia="仿宋" w:cs="仿宋"/>
                <w:sz w:val="24"/>
              </w:rPr>
            </w:pPr>
            <w:r>
              <w:rPr>
                <w:rFonts w:hint="eastAsia" w:ascii="仿宋" w:hAnsi="仿宋" w:eastAsia="仿宋" w:cs="仿宋"/>
                <w:sz w:val="24"/>
              </w:rPr>
              <w:t>简化业务流程，完善投诉机制</w:t>
            </w:r>
          </w:p>
          <w:p>
            <w:pPr>
              <w:spacing w:line="600" w:lineRule="exact"/>
              <w:jc w:val="left"/>
              <w:rPr>
                <w:rFonts w:hint="eastAsia" w:ascii="仿宋" w:hAnsi="仿宋" w:eastAsia="仿宋" w:cs="仿宋"/>
                <w:sz w:val="24"/>
              </w:rPr>
            </w:pPr>
            <w:r>
              <w:rPr>
                <w:rFonts w:hint="eastAsia" w:ascii="仿宋" w:hAnsi="仿宋" w:eastAsia="仿宋" w:cs="仿宋"/>
                <w:sz w:val="24"/>
              </w:rPr>
              <w:t>保护消费者权益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员工</w:t>
            </w:r>
          </w:p>
        </w:tc>
        <w:tc>
          <w:tcPr>
            <w:tcW w:w="3118" w:type="dxa"/>
            <w:vAlign w:val="center"/>
          </w:tcPr>
          <w:p>
            <w:pPr>
              <w:spacing w:line="600" w:lineRule="exact"/>
              <w:jc w:val="left"/>
              <w:rPr>
                <w:rFonts w:hint="eastAsia" w:ascii="仿宋" w:hAnsi="仿宋" w:eastAsia="仿宋" w:cs="仿宋"/>
                <w:sz w:val="24"/>
              </w:rPr>
            </w:pPr>
            <w:r>
              <w:rPr>
                <w:rFonts w:hint="eastAsia" w:ascii="仿宋" w:hAnsi="仿宋" w:eastAsia="仿宋" w:cs="仿宋"/>
                <w:sz w:val="24"/>
              </w:rPr>
              <w:t>以人为本</w:t>
            </w:r>
          </w:p>
          <w:p>
            <w:pPr>
              <w:spacing w:line="600" w:lineRule="exact"/>
              <w:jc w:val="left"/>
              <w:rPr>
                <w:rFonts w:hint="eastAsia" w:ascii="仿宋" w:hAnsi="仿宋" w:eastAsia="仿宋" w:cs="仿宋"/>
                <w:sz w:val="24"/>
              </w:rPr>
            </w:pPr>
            <w:r>
              <w:rPr>
                <w:rFonts w:hint="eastAsia" w:ascii="仿宋" w:hAnsi="仿宋" w:eastAsia="仿宋" w:cs="仿宋"/>
                <w:sz w:val="24"/>
              </w:rPr>
              <w:t>关注成长</w:t>
            </w:r>
          </w:p>
          <w:p>
            <w:pPr>
              <w:spacing w:line="600" w:lineRule="exact"/>
              <w:jc w:val="left"/>
              <w:rPr>
                <w:rFonts w:hint="eastAsia" w:ascii="仿宋" w:hAnsi="仿宋" w:eastAsia="仿宋" w:cs="仿宋"/>
                <w:sz w:val="24"/>
              </w:rPr>
            </w:pPr>
            <w:r>
              <w:rPr>
                <w:rFonts w:hint="eastAsia" w:ascii="仿宋" w:hAnsi="仿宋" w:eastAsia="仿宋" w:cs="仿宋"/>
                <w:sz w:val="24"/>
              </w:rPr>
              <w:t>实现自我价值</w:t>
            </w:r>
          </w:p>
        </w:tc>
        <w:tc>
          <w:tcPr>
            <w:tcW w:w="3968" w:type="dxa"/>
            <w:vAlign w:val="center"/>
          </w:tcPr>
          <w:p>
            <w:pPr>
              <w:spacing w:line="600" w:lineRule="exact"/>
              <w:jc w:val="left"/>
              <w:rPr>
                <w:rFonts w:hint="eastAsia" w:ascii="仿宋" w:hAnsi="仿宋" w:eastAsia="仿宋" w:cs="仿宋"/>
                <w:sz w:val="24"/>
              </w:rPr>
            </w:pPr>
            <w:r>
              <w:rPr>
                <w:rFonts w:hint="eastAsia" w:ascii="仿宋" w:hAnsi="仿宋" w:eastAsia="仿宋" w:cs="仿宋"/>
                <w:sz w:val="24"/>
              </w:rPr>
              <w:t>保障员工合法权益</w:t>
            </w:r>
          </w:p>
          <w:p>
            <w:pPr>
              <w:spacing w:line="600" w:lineRule="exact"/>
              <w:jc w:val="left"/>
              <w:rPr>
                <w:rFonts w:hint="eastAsia" w:ascii="仿宋" w:hAnsi="仿宋" w:eastAsia="仿宋" w:cs="仿宋"/>
                <w:sz w:val="24"/>
              </w:rPr>
            </w:pPr>
            <w:r>
              <w:rPr>
                <w:rFonts w:hint="eastAsia" w:ascii="仿宋" w:hAnsi="仿宋" w:eastAsia="仿宋" w:cs="仿宋"/>
                <w:sz w:val="24"/>
              </w:rPr>
              <w:t>完善薪酬福利体系和职业发展规划</w:t>
            </w:r>
          </w:p>
          <w:p>
            <w:pPr>
              <w:spacing w:line="600" w:lineRule="exact"/>
              <w:jc w:val="left"/>
              <w:rPr>
                <w:rFonts w:hint="eastAsia" w:ascii="仿宋" w:hAnsi="仿宋" w:eastAsia="仿宋" w:cs="仿宋"/>
                <w:sz w:val="24"/>
              </w:rPr>
            </w:pPr>
            <w:r>
              <w:rPr>
                <w:rFonts w:hint="eastAsia" w:ascii="仿宋" w:hAnsi="仿宋" w:eastAsia="仿宋" w:cs="仿宋"/>
                <w:sz w:val="24"/>
              </w:rPr>
              <w:t>探索企业文化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供应商与合作伙伴</w:t>
            </w:r>
          </w:p>
        </w:tc>
        <w:tc>
          <w:tcPr>
            <w:tcW w:w="3118" w:type="dxa"/>
            <w:vAlign w:val="center"/>
          </w:tcPr>
          <w:p>
            <w:pPr>
              <w:spacing w:line="600" w:lineRule="exact"/>
              <w:jc w:val="left"/>
              <w:rPr>
                <w:rFonts w:hint="eastAsia" w:ascii="仿宋" w:hAnsi="仿宋" w:eastAsia="仿宋" w:cs="仿宋"/>
                <w:sz w:val="24"/>
              </w:rPr>
            </w:pPr>
            <w:r>
              <w:rPr>
                <w:rFonts w:hint="eastAsia" w:ascii="仿宋" w:hAnsi="仿宋" w:eastAsia="仿宋" w:cs="仿宋"/>
                <w:sz w:val="24"/>
              </w:rPr>
              <w:t>诚实守信</w:t>
            </w:r>
          </w:p>
          <w:p>
            <w:pPr>
              <w:spacing w:line="600" w:lineRule="exact"/>
              <w:jc w:val="left"/>
              <w:rPr>
                <w:rFonts w:hint="eastAsia" w:ascii="仿宋" w:hAnsi="仿宋" w:eastAsia="仿宋" w:cs="仿宋"/>
                <w:sz w:val="24"/>
              </w:rPr>
            </w:pPr>
            <w:r>
              <w:rPr>
                <w:rFonts w:hint="eastAsia" w:ascii="仿宋" w:hAnsi="仿宋" w:eastAsia="仿宋" w:cs="仿宋"/>
                <w:sz w:val="24"/>
              </w:rPr>
              <w:t>互利共赢</w:t>
            </w:r>
          </w:p>
        </w:tc>
        <w:tc>
          <w:tcPr>
            <w:tcW w:w="3968" w:type="dxa"/>
            <w:vAlign w:val="center"/>
          </w:tcPr>
          <w:p>
            <w:pPr>
              <w:spacing w:line="600" w:lineRule="exact"/>
              <w:jc w:val="left"/>
              <w:rPr>
                <w:rFonts w:hint="eastAsia" w:ascii="仿宋" w:hAnsi="仿宋" w:eastAsia="仿宋" w:cs="仿宋"/>
                <w:sz w:val="24"/>
              </w:rPr>
            </w:pPr>
            <w:r>
              <w:rPr>
                <w:rFonts w:hint="eastAsia" w:ascii="仿宋" w:hAnsi="仿宋" w:eastAsia="仿宋" w:cs="仿宋"/>
                <w:sz w:val="24"/>
              </w:rPr>
              <w:t>公平竞争，诚信履约</w:t>
            </w:r>
          </w:p>
          <w:p>
            <w:pPr>
              <w:spacing w:line="600" w:lineRule="exact"/>
              <w:jc w:val="left"/>
              <w:rPr>
                <w:rFonts w:hint="eastAsia" w:ascii="仿宋" w:hAnsi="仿宋" w:eastAsia="仿宋" w:cs="仿宋"/>
                <w:sz w:val="24"/>
              </w:rPr>
            </w:pPr>
            <w:r>
              <w:rPr>
                <w:rFonts w:hint="eastAsia" w:ascii="仿宋" w:hAnsi="仿宋" w:eastAsia="仿宋" w:cs="仿宋"/>
                <w:sz w:val="24"/>
              </w:rPr>
              <w:t>友好互利，相互尊重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社区</w:t>
            </w:r>
          </w:p>
        </w:tc>
        <w:tc>
          <w:tcPr>
            <w:tcW w:w="3118" w:type="dxa"/>
            <w:vAlign w:val="center"/>
          </w:tcPr>
          <w:p>
            <w:pPr>
              <w:spacing w:line="600" w:lineRule="exact"/>
              <w:jc w:val="left"/>
              <w:rPr>
                <w:rFonts w:hint="eastAsia" w:ascii="仿宋" w:hAnsi="仿宋" w:eastAsia="仿宋" w:cs="仿宋"/>
                <w:sz w:val="24"/>
              </w:rPr>
            </w:pPr>
            <w:r>
              <w:rPr>
                <w:rFonts w:hint="eastAsia" w:ascii="仿宋" w:hAnsi="仿宋" w:eastAsia="仿宋" w:cs="仿宋"/>
                <w:sz w:val="24"/>
              </w:rPr>
              <w:t>支持社区建设</w:t>
            </w:r>
          </w:p>
          <w:p>
            <w:pPr>
              <w:spacing w:line="600" w:lineRule="exact"/>
              <w:jc w:val="left"/>
              <w:rPr>
                <w:rFonts w:hint="eastAsia" w:ascii="仿宋" w:hAnsi="仿宋" w:eastAsia="仿宋" w:cs="仿宋"/>
                <w:sz w:val="24"/>
              </w:rPr>
            </w:pPr>
            <w:r>
              <w:rPr>
                <w:rFonts w:hint="eastAsia" w:ascii="仿宋" w:hAnsi="仿宋" w:eastAsia="仿宋" w:cs="仿宋"/>
                <w:sz w:val="24"/>
              </w:rPr>
              <w:t>搭建银村桥梁</w:t>
            </w:r>
          </w:p>
          <w:p>
            <w:pPr>
              <w:spacing w:line="600" w:lineRule="exact"/>
              <w:jc w:val="left"/>
              <w:rPr>
                <w:rFonts w:hint="eastAsia" w:ascii="仿宋" w:hAnsi="仿宋" w:eastAsia="仿宋" w:cs="仿宋"/>
                <w:sz w:val="24"/>
              </w:rPr>
            </w:pPr>
            <w:r>
              <w:rPr>
                <w:rFonts w:hint="eastAsia" w:ascii="仿宋" w:hAnsi="仿宋" w:eastAsia="仿宋" w:cs="仿宋"/>
                <w:sz w:val="24"/>
              </w:rPr>
              <w:t>宣传金融知识</w:t>
            </w:r>
          </w:p>
        </w:tc>
        <w:tc>
          <w:tcPr>
            <w:tcW w:w="3968" w:type="dxa"/>
            <w:vAlign w:val="center"/>
          </w:tcPr>
          <w:p>
            <w:pPr>
              <w:spacing w:line="600" w:lineRule="exact"/>
              <w:jc w:val="left"/>
              <w:rPr>
                <w:rFonts w:hint="eastAsia" w:ascii="仿宋" w:hAnsi="仿宋" w:eastAsia="仿宋" w:cs="仿宋"/>
                <w:sz w:val="24"/>
              </w:rPr>
            </w:pPr>
            <w:r>
              <w:rPr>
                <w:rFonts w:hint="eastAsia" w:ascii="仿宋" w:hAnsi="仿宋" w:eastAsia="仿宋" w:cs="仿宋"/>
                <w:sz w:val="24"/>
              </w:rPr>
              <w:t>优化网点布局，提升综合服务能力</w:t>
            </w:r>
          </w:p>
          <w:p>
            <w:pPr>
              <w:spacing w:line="600" w:lineRule="exact"/>
              <w:jc w:val="left"/>
              <w:rPr>
                <w:rFonts w:hint="eastAsia" w:ascii="仿宋" w:hAnsi="仿宋" w:eastAsia="仿宋" w:cs="仿宋"/>
                <w:sz w:val="24"/>
              </w:rPr>
            </w:pPr>
            <w:r>
              <w:rPr>
                <w:rFonts w:hint="eastAsia" w:ascii="仿宋" w:hAnsi="仿宋" w:eastAsia="仿宋" w:cs="仿宋"/>
                <w:sz w:val="24"/>
              </w:rPr>
              <w:t>加大宣传力度，普及金融政策知识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公众与媒体</w:t>
            </w:r>
          </w:p>
        </w:tc>
        <w:tc>
          <w:tcPr>
            <w:tcW w:w="3118" w:type="dxa"/>
            <w:vAlign w:val="center"/>
          </w:tcPr>
          <w:p>
            <w:pPr>
              <w:spacing w:line="600" w:lineRule="exact"/>
              <w:jc w:val="left"/>
              <w:rPr>
                <w:rFonts w:hint="eastAsia" w:ascii="仿宋" w:hAnsi="仿宋" w:eastAsia="仿宋" w:cs="仿宋"/>
                <w:sz w:val="24"/>
              </w:rPr>
            </w:pPr>
            <w:r>
              <w:rPr>
                <w:rFonts w:hint="eastAsia" w:ascii="仿宋" w:hAnsi="仿宋" w:eastAsia="仿宋" w:cs="仿宋"/>
                <w:sz w:val="24"/>
              </w:rPr>
              <w:t>塑造品牌形象</w:t>
            </w:r>
          </w:p>
          <w:p>
            <w:pPr>
              <w:spacing w:line="600" w:lineRule="exact"/>
              <w:jc w:val="left"/>
              <w:rPr>
                <w:rFonts w:hint="eastAsia" w:ascii="仿宋" w:hAnsi="仿宋" w:eastAsia="仿宋" w:cs="仿宋"/>
                <w:sz w:val="24"/>
              </w:rPr>
            </w:pPr>
            <w:r>
              <w:rPr>
                <w:rFonts w:hint="eastAsia" w:ascii="仿宋" w:hAnsi="仿宋" w:eastAsia="仿宋" w:cs="仿宋"/>
                <w:sz w:val="24"/>
              </w:rPr>
              <w:t>热心回馈社会</w:t>
            </w:r>
          </w:p>
        </w:tc>
        <w:tc>
          <w:tcPr>
            <w:tcW w:w="3968" w:type="dxa"/>
            <w:vAlign w:val="center"/>
          </w:tcPr>
          <w:p>
            <w:pPr>
              <w:spacing w:line="600" w:lineRule="exact"/>
              <w:jc w:val="left"/>
              <w:rPr>
                <w:rFonts w:hint="eastAsia" w:ascii="仿宋" w:hAnsi="仿宋" w:eastAsia="仿宋" w:cs="仿宋"/>
                <w:sz w:val="24"/>
              </w:rPr>
            </w:pPr>
            <w:r>
              <w:rPr>
                <w:rFonts w:hint="eastAsia" w:ascii="仿宋" w:hAnsi="仿宋" w:eastAsia="仿宋" w:cs="仿宋"/>
                <w:sz w:val="24"/>
              </w:rPr>
              <w:t>积极对接，加强宣传</w:t>
            </w:r>
          </w:p>
          <w:p>
            <w:pPr>
              <w:spacing w:line="600" w:lineRule="exact"/>
              <w:jc w:val="left"/>
              <w:rPr>
                <w:rFonts w:hint="eastAsia" w:ascii="仿宋" w:hAnsi="仿宋" w:eastAsia="仿宋" w:cs="仿宋"/>
                <w:sz w:val="24"/>
              </w:rPr>
            </w:pPr>
            <w:r>
              <w:rPr>
                <w:rFonts w:hint="eastAsia" w:ascii="仿宋" w:hAnsi="仿宋" w:eastAsia="仿宋" w:cs="仿宋"/>
                <w:sz w:val="24"/>
              </w:rPr>
              <w:t>投身公益事业，打造品牌口碑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环境</w:t>
            </w:r>
          </w:p>
        </w:tc>
        <w:tc>
          <w:tcPr>
            <w:tcW w:w="3118" w:type="dxa"/>
            <w:vAlign w:val="center"/>
          </w:tcPr>
          <w:p>
            <w:pPr>
              <w:spacing w:line="600" w:lineRule="exact"/>
              <w:jc w:val="left"/>
              <w:rPr>
                <w:rFonts w:hint="eastAsia" w:ascii="仿宋" w:hAnsi="仿宋" w:eastAsia="仿宋" w:cs="仿宋"/>
                <w:sz w:val="24"/>
              </w:rPr>
            </w:pPr>
            <w:r>
              <w:rPr>
                <w:rFonts w:hint="eastAsia" w:ascii="仿宋" w:hAnsi="仿宋" w:eastAsia="仿宋" w:cs="仿宋"/>
                <w:sz w:val="24"/>
              </w:rPr>
              <w:t>信贷投向偏好</w:t>
            </w:r>
          </w:p>
          <w:p>
            <w:pPr>
              <w:spacing w:line="600" w:lineRule="exact"/>
              <w:jc w:val="left"/>
              <w:rPr>
                <w:rFonts w:hint="eastAsia" w:ascii="仿宋" w:hAnsi="仿宋" w:eastAsia="仿宋" w:cs="仿宋"/>
                <w:sz w:val="24"/>
              </w:rPr>
            </w:pPr>
            <w:r>
              <w:rPr>
                <w:rFonts w:hint="eastAsia" w:ascii="仿宋" w:hAnsi="仿宋" w:eastAsia="仿宋" w:cs="仿宋"/>
                <w:sz w:val="24"/>
              </w:rPr>
              <w:t>节能减排</w:t>
            </w:r>
          </w:p>
          <w:p>
            <w:pPr>
              <w:spacing w:line="600" w:lineRule="exact"/>
              <w:jc w:val="left"/>
              <w:rPr>
                <w:rFonts w:hint="eastAsia" w:ascii="仿宋" w:hAnsi="仿宋" w:eastAsia="仿宋" w:cs="仿宋"/>
                <w:sz w:val="24"/>
              </w:rPr>
            </w:pPr>
            <w:r>
              <w:rPr>
                <w:rFonts w:hint="eastAsia" w:ascii="仿宋" w:hAnsi="仿宋" w:eastAsia="仿宋" w:cs="仿宋"/>
                <w:sz w:val="24"/>
              </w:rPr>
              <w:t>可持续发展</w:t>
            </w:r>
          </w:p>
        </w:tc>
        <w:tc>
          <w:tcPr>
            <w:tcW w:w="3968" w:type="dxa"/>
            <w:vAlign w:val="center"/>
          </w:tcPr>
          <w:p>
            <w:pPr>
              <w:spacing w:line="600" w:lineRule="exact"/>
              <w:jc w:val="left"/>
              <w:rPr>
                <w:rFonts w:hint="eastAsia" w:ascii="仿宋" w:hAnsi="仿宋" w:eastAsia="仿宋" w:cs="仿宋"/>
                <w:sz w:val="24"/>
              </w:rPr>
            </w:pPr>
            <w:r>
              <w:rPr>
                <w:rFonts w:hint="eastAsia" w:ascii="仿宋" w:hAnsi="仿宋" w:eastAsia="仿宋" w:cs="仿宋"/>
                <w:sz w:val="24"/>
              </w:rPr>
              <w:t>限制高污染、高能耗的产品</w:t>
            </w:r>
          </w:p>
          <w:p>
            <w:pPr>
              <w:spacing w:line="600" w:lineRule="exact"/>
              <w:jc w:val="left"/>
              <w:rPr>
                <w:rFonts w:hint="eastAsia" w:ascii="仿宋" w:hAnsi="仿宋" w:eastAsia="仿宋" w:cs="仿宋"/>
                <w:sz w:val="24"/>
              </w:rPr>
            </w:pPr>
            <w:r>
              <w:rPr>
                <w:rFonts w:hint="eastAsia" w:ascii="仿宋" w:hAnsi="仿宋" w:eastAsia="仿宋" w:cs="仿宋"/>
                <w:sz w:val="24"/>
              </w:rPr>
              <w:t>支持无纸化办公</w:t>
            </w:r>
          </w:p>
          <w:p>
            <w:pPr>
              <w:spacing w:line="600" w:lineRule="exact"/>
              <w:jc w:val="left"/>
              <w:rPr>
                <w:rFonts w:hint="eastAsia" w:ascii="仿宋" w:hAnsi="仿宋" w:eastAsia="仿宋" w:cs="仿宋"/>
                <w:sz w:val="24"/>
              </w:rPr>
            </w:pPr>
            <w:r>
              <w:rPr>
                <w:rFonts w:hint="eastAsia" w:ascii="仿宋" w:hAnsi="仿宋" w:eastAsia="仿宋" w:cs="仿宋"/>
                <w:sz w:val="24"/>
              </w:rPr>
              <w:t>倡导节约的企业氛围</w:t>
            </w:r>
          </w:p>
        </w:tc>
      </w:tr>
    </w:tbl>
    <w:p>
      <w:pPr>
        <w:spacing w:line="600" w:lineRule="exact"/>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第四节  社会责任实践</w:t>
      </w:r>
    </w:p>
    <w:p>
      <w:pPr>
        <w:spacing w:line="600" w:lineRule="exact"/>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经济责任</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长期以来，临清村行坚持扎根农村，承担乡村振兴新使命。新时代赋予新使命，临清村行在解决社会难点的过程中寻找新机遇、拓展新客户，为客户创造价值，切实提升“三农”、小微、社区客户满意度，实现商业银行与社会功能的有机统一。</w:t>
      </w:r>
    </w:p>
    <w:p>
      <w:pPr>
        <w:spacing w:line="600" w:lineRule="exact"/>
        <w:ind w:firstLine="643"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服务三农：</w:t>
      </w:r>
      <w:r>
        <w:rPr>
          <w:rFonts w:hint="eastAsia" w:ascii="仿宋_GB2312" w:hAnsi="仿宋_GB2312" w:eastAsia="仿宋_GB2312" w:cs="仿宋_GB2312"/>
          <w:sz w:val="32"/>
          <w:szCs w:val="32"/>
        </w:rPr>
        <w:t>加快金融产品创新，及时解决资金需求。截至2024年末，临清村行累计发放贷款10.27亿元，累计发放涉农贷款9.97亿元，在支持“小微、三农”经济发展等方面发挥了日益显著的作用。其中，涉农贷款余额91530.93万元、服务企业类客户29户，个人客户6745户。完善微贷制度体系，推出了“兴、企、捷、福、民”五款符合当地特色的信贷产品，合理配置信贷资源，稳步扩大信贷投放规模，提高投放效率，确保贷款客户需求得到及时有效的满足。截至2024年末，五款产品当年累计投放2.7亿元。</w:t>
      </w:r>
    </w:p>
    <w:p>
      <w:pPr>
        <w:spacing w:line="600" w:lineRule="exact"/>
        <w:ind w:firstLine="643" w:firstLineChars="200"/>
        <w:jc w:val="left"/>
        <w:rPr>
          <w:rFonts w:hint="eastAsia" w:ascii="仿宋" w:hAnsi="仿宋" w:eastAsia="仿宋" w:cs="仿宋"/>
          <w:b/>
          <w:bCs/>
          <w:sz w:val="28"/>
          <w:szCs w:val="28"/>
        </w:rPr>
      </w:pPr>
      <w:r>
        <w:rPr>
          <w:rFonts w:hint="eastAsia" w:ascii="仿宋_GB2312" w:hAnsi="仿宋_GB2312" w:eastAsia="仿宋_GB2312" w:cs="仿宋_GB2312"/>
          <w:b/>
          <w:bCs/>
          <w:sz w:val="32"/>
          <w:szCs w:val="32"/>
        </w:rPr>
        <w:t>服务小微：</w:t>
      </w:r>
      <w:r>
        <w:rPr>
          <w:rFonts w:hint="eastAsia" w:ascii="仿宋_GB2312" w:hAnsi="仿宋_GB2312" w:eastAsia="仿宋_GB2312" w:cs="仿宋_GB2312"/>
          <w:sz w:val="32"/>
          <w:szCs w:val="32"/>
        </w:rPr>
        <w:t>坚守定位不动摇，支持“小微、三农”发展。临清村行始终贯彻“坚守市场定位，强化普惠金融、深耕小微三农”的市场定位，以高质量发展为目标，加强小微企业经营类融资需求的支持力度，有效解决农村地区金融机构覆盖率低、金融供给不足、金融服务缺位等问题。截至2024年末，小微企业贷款余额64992.46万元，较年初增加9670.81万元，增幅17.48%；小微企业客户数2544户，户均25.55元。</w:t>
      </w:r>
    </w:p>
    <w:tbl>
      <w:tblPr>
        <w:tblStyle w:val="12"/>
        <w:tblW w:w="90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113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shd w:val="clear" w:color="auto" w:fill="DEEBF6" w:themeFill="accent1" w:themeFillTint="32"/>
            <w:vAlign w:val="center"/>
          </w:tcPr>
          <w:p>
            <w:pPr>
              <w:spacing w:line="600" w:lineRule="exact"/>
              <w:jc w:val="left"/>
              <w:rPr>
                <w:rFonts w:hint="eastAsia" w:ascii="仿宋" w:hAnsi="仿宋" w:eastAsia="仿宋" w:cs="仿宋"/>
                <w:b/>
                <w:bCs/>
                <w:sz w:val="28"/>
                <w:szCs w:val="28"/>
              </w:rPr>
            </w:pPr>
            <w:r>
              <w:rPr>
                <w:rFonts w:hint="eastAsia" w:ascii="仿宋" w:hAnsi="仿宋" w:eastAsia="仿宋" w:cs="仿宋"/>
                <w:b/>
                <w:bCs/>
                <w:sz w:val="28"/>
                <w:szCs w:val="28"/>
              </w:rPr>
              <w:t>指标名称</w:t>
            </w:r>
          </w:p>
        </w:tc>
        <w:tc>
          <w:tcPr>
            <w:tcW w:w="1134" w:type="dxa"/>
            <w:shd w:val="clear" w:color="auto" w:fill="DEEBF6" w:themeFill="accent1" w:themeFillTint="32"/>
            <w:vAlign w:val="center"/>
          </w:tcPr>
          <w:p>
            <w:pPr>
              <w:spacing w:line="600" w:lineRule="exact"/>
              <w:jc w:val="center"/>
              <w:rPr>
                <w:rFonts w:hint="eastAsia" w:ascii="仿宋" w:hAnsi="仿宋" w:eastAsia="仿宋" w:cs="仿宋"/>
                <w:b/>
                <w:bCs/>
                <w:sz w:val="28"/>
                <w:szCs w:val="28"/>
              </w:rPr>
            </w:pPr>
            <w:r>
              <w:rPr>
                <w:rFonts w:hint="eastAsia" w:ascii="仿宋" w:hAnsi="仿宋" w:eastAsia="仿宋" w:cs="仿宋"/>
                <w:b/>
                <w:bCs/>
                <w:sz w:val="28"/>
                <w:szCs w:val="28"/>
              </w:rPr>
              <w:t>单位</w:t>
            </w:r>
          </w:p>
        </w:tc>
        <w:tc>
          <w:tcPr>
            <w:tcW w:w="1704" w:type="dxa"/>
            <w:shd w:val="clear" w:color="auto" w:fill="DEEBF6" w:themeFill="accent1" w:themeFillTint="32"/>
            <w:vAlign w:val="center"/>
          </w:tcPr>
          <w:p>
            <w:pPr>
              <w:spacing w:line="600" w:lineRule="exact"/>
              <w:jc w:val="center"/>
              <w:rPr>
                <w:rFonts w:hint="eastAsia" w:ascii="仿宋" w:hAnsi="仿宋" w:eastAsia="仿宋" w:cs="仿宋"/>
                <w:b/>
                <w:bCs/>
                <w:sz w:val="28"/>
                <w:szCs w:val="28"/>
              </w:rPr>
            </w:pPr>
            <w:r>
              <w:rPr>
                <w:rFonts w:hint="eastAsia" w:ascii="仿宋" w:hAnsi="仿宋" w:eastAsia="仿宋" w:cs="仿宋"/>
                <w:b/>
                <w:bCs/>
                <w:sz w:val="28"/>
                <w:szCs w:val="28"/>
              </w:rPr>
              <w:t>2024年</w:t>
            </w:r>
          </w:p>
        </w:tc>
        <w:tc>
          <w:tcPr>
            <w:tcW w:w="1705" w:type="dxa"/>
            <w:shd w:val="clear" w:color="auto" w:fill="DEEBF6" w:themeFill="accent1" w:themeFillTint="32"/>
            <w:vAlign w:val="center"/>
          </w:tcPr>
          <w:p>
            <w:pPr>
              <w:spacing w:line="600" w:lineRule="exact"/>
              <w:jc w:val="center"/>
              <w:rPr>
                <w:rFonts w:hint="eastAsia" w:ascii="仿宋" w:hAnsi="仿宋" w:eastAsia="仿宋" w:cs="仿宋"/>
                <w:b/>
                <w:bCs/>
                <w:sz w:val="28"/>
                <w:szCs w:val="28"/>
              </w:rPr>
            </w:pPr>
            <w:r>
              <w:rPr>
                <w:rFonts w:hint="eastAsia" w:ascii="仿宋_GB2312" w:hAnsi="仿宋_GB2312" w:eastAsia="仿宋_GB2312" w:cs="仿宋_GB2312"/>
                <w:b/>
                <w:bCs/>
                <w:sz w:val="32"/>
                <w:szCs w:val="32"/>
              </w:rPr>
              <w:t>2023年</w:t>
            </w:r>
          </w:p>
        </w:tc>
        <w:tc>
          <w:tcPr>
            <w:tcW w:w="1705" w:type="dxa"/>
            <w:shd w:val="clear" w:color="auto" w:fill="DEEBF6" w:themeFill="accent1" w:themeFillTint="32"/>
            <w:vAlign w:val="center"/>
          </w:tcPr>
          <w:p>
            <w:pPr>
              <w:spacing w:line="600" w:lineRule="exact"/>
              <w:jc w:val="center"/>
              <w:rPr>
                <w:rFonts w:hint="eastAsia" w:ascii="仿宋" w:hAnsi="仿宋" w:eastAsia="仿宋" w:cs="仿宋"/>
                <w:b/>
                <w:bCs/>
                <w:sz w:val="28"/>
                <w:szCs w:val="28"/>
              </w:rPr>
            </w:pPr>
            <w:r>
              <w:rPr>
                <w:rFonts w:hint="eastAsia" w:ascii="仿宋_GB2312" w:hAnsi="仿宋_GB2312" w:eastAsia="仿宋_GB2312" w:cs="仿宋_GB2312"/>
                <w:b/>
                <w:bCs/>
                <w:sz w:val="32"/>
                <w:szCs w:val="32"/>
              </w:rPr>
              <w:t>2022年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spacing w:line="600" w:lineRule="exact"/>
              <w:jc w:val="left"/>
              <w:rPr>
                <w:rFonts w:hint="eastAsia" w:ascii="仿宋" w:hAnsi="仿宋" w:eastAsia="仿宋" w:cs="仿宋"/>
                <w:sz w:val="24"/>
              </w:rPr>
            </w:pPr>
            <w:r>
              <w:rPr>
                <w:rFonts w:hint="eastAsia" w:ascii="仿宋" w:hAnsi="仿宋" w:eastAsia="仿宋" w:cs="仿宋"/>
                <w:sz w:val="24"/>
              </w:rPr>
              <w:t>小微企业贷款余额</w:t>
            </w:r>
          </w:p>
        </w:tc>
        <w:tc>
          <w:tcPr>
            <w:tcW w:w="1134"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万元</w:t>
            </w:r>
          </w:p>
        </w:tc>
        <w:tc>
          <w:tcPr>
            <w:tcW w:w="1704"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64992.46</w:t>
            </w:r>
          </w:p>
        </w:tc>
        <w:tc>
          <w:tcPr>
            <w:tcW w:w="1705"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55321.65</w:t>
            </w:r>
          </w:p>
        </w:tc>
        <w:tc>
          <w:tcPr>
            <w:tcW w:w="1705"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41261.16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spacing w:line="600" w:lineRule="exact"/>
              <w:jc w:val="left"/>
              <w:rPr>
                <w:rFonts w:hint="eastAsia" w:ascii="仿宋" w:hAnsi="仿宋" w:eastAsia="仿宋" w:cs="仿宋"/>
                <w:sz w:val="24"/>
              </w:rPr>
            </w:pPr>
            <w:r>
              <w:rPr>
                <w:rFonts w:hint="eastAsia" w:ascii="仿宋" w:hAnsi="仿宋" w:eastAsia="仿宋" w:cs="仿宋"/>
                <w:sz w:val="24"/>
              </w:rPr>
              <w:t>小微企业贷款占比</w:t>
            </w:r>
          </w:p>
        </w:tc>
        <w:tc>
          <w:tcPr>
            <w:tcW w:w="1134"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w:t>
            </w:r>
          </w:p>
        </w:tc>
        <w:tc>
          <w:tcPr>
            <w:tcW w:w="1704"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64.62</w:t>
            </w:r>
          </w:p>
        </w:tc>
        <w:tc>
          <w:tcPr>
            <w:tcW w:w="1705"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57.4</w:t>
            </w:r>
          </w:p>
        </w:tc>
        <w:tc>
          <w:tcPr>
            <w:tcW w:w="1705"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45.66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spacing w:line="600" w:lineRule="exact"/>
              <w:jc w:val="left"/>
              <w:rPr>
                <w:rFonts w:hint="eastAsia" w:ascii="仿宋" w:hAnsi="仿宋" w:eastAsia="仿宋" w:cs="仿宋"/>
                <w:sz w:val="24"/>
              </w:rPr>
            </w:pPr>
            <w:r>
              <w:rPr>
                <w:rFonts w:hint="eastAsia" w:ascii="仿宋" w:hAnsi="仿宋" w:eastAsia="仿宋" w:cs="仿宋"/>
                <w:sz w:val="24"/>
              </w:rPr>
              <w:t>小微企业贷款客户数量</w:t>
            </w:r>
          </w:p>
        </w:tc>
        <w:tc>
          <w:tcPr>
            <w:tcW w:w="1134"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户</w:t>
            </w:r>
          </w:p>
        </w:tc>
        <w:tc>
          <w:tcPr>
            <w:tcW w:w="1704"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2544</w:t>
            </w:r>
          </w:p>
        </w:tc>
        <w:tc>
          <w:tcPr>
            <w:tcW w:w="1705"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2151</w:t>
            </w:r>
          </w:p>
        </w:tc>
        <w:tc>
          <w:tcPr>
            <w:tcW w:w="1705"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1418</w:t>
            </w:r>
          </w:p>
        </w:tc>
      </w:tr>
    </w:tbl>
    <w:p>
      <w:pPr>
        <w:spacing w:line="600" w:lineRule="exact"/>
        <w:ind w:firstLine="562" w:firstLineChars="200"/>
        <w:rPr>
          <w:rFonts w:hint="eastAsia" w:ascii="仿宋" w:hAnsi="仿宋" w:eastAsia="仿宋" w:cs="仿宋"/>
          <w:sz w:val="28"/>
          <w:szCs w:val="28"/>
        </w:rPr>
      </w:pPr>
      <w:r>
        <w:rPr>
          <w:rFonts w:hint="eastAsia" w:ascii="仿宋" w:hAnsi="仿宋" w:eastAsia="仿宋" w:cs="仿宋"/>
          <w:b/>
          <w:bCs/>
          <w:sz w:val="28"/>
          <w:szCs w:val="28"/>
        </w:rPr>
        <w:t>优质服务：</w:t>
      </w:r>
      <w:r>
        <w:rPr>
          <w:rFonts w:hint="eastAsia" w:ascii="仿宋_GB2312" w:hAnsi="仿宋_GB2312" w:eastAsia="仿宋_GB2312" w:cs="仿宋_GB2312"/>
          <w:sz w:val="32"/>
          <w:szCs w:val="32"/>
        </w:rPr>
        <w:t>临清村行优化服务方式，推进普惠金融降价、提质，优化信贷流程，在风险可控的前提下，发挥临清村行“短、平、快”的审批优势，让客户更快的获得信贷支持，同时调整产品额度，将微小贷款投放作为贯穿信贷业务的主线，全力支持乡村振兴。</w:t>
      </w:r>
    </w:p>
    <w:p>
      <w:pPr>
        <w:spacing w:line="600" w:lineRule="exact"/>
        <w:ind w:firstLine="640" w:firstLineChars="200"/>
        <w:rPr>
          <w:rFonts w:hint="eastAsia" w:ascii="仿宋_GB2312" w:hAnsi="仿宋_GB2312" w:eastAsia="仿宋_GB2312" w:cs="仿宋_GB2312"/>
          <w:sz w:val="32"/>
          <w:szCs w:val="32"/>
          <w:highlight w:val="cyan"/>
        </w:rPr>
      </w:pPr>
      <w:r>
        <w:rPr>
          <w:rFonts w:hint="eastAsia" w:ascii="仿宋_GB2312" w:hAnsi="仿宋_GB2312" w:eastAsia="仿宋_GB2312" w:cs="仿宋_GB2312"/>
          <w:sz w:val="32"/>
          <w:szCs w:val="32"/>
        </w:rPr>
        <w:t>临清村行号召行内员工向农户和小微企业进行营销宣传，尤其是急需贷款资金周转的个体或商户。对于符合准入条件的对象，临清村行第一时间介入调研，快速审查审批，通过及时授信帮助客户渡过难关。其次，临清村行客户经理分区划片，在各乡镇开展网格化营销，主动对接农户及小微企业，加大授信。截至2024年末，临清村行小微企业贷款较年初增加9670.81万元，小微企业贷款户数较年初增加393户。</w:t>
      </w:r>
    </w:p>
    <w:p>
      <w:pPr>
        <w:spacing w:line="600" w:lineRule="exact"/>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员工责任</w:t>
      </w:r>
    </w:p>
    <w:p>
      <w:pPr>
        <w:spacing w:line="600" w:lineRule="exact"/>
        <w:jc w:val="left"/>
        <w:rPr>
          <w:rFonts w:hint="eastAsia" w:ascii="仿宋" w:hAnsi="仿宋" w:eastAsia="仿宋" w:cs="仿宋"/>
          <w:b/>
          <w:bCs/>
          <w:sz w:val="28"/>
          <w:szCs w:val="28"/>
        </w:rPr>
      </w:pPr>
      <w:r>
        <w:rPr>
          <w:rFonts w:hint="eastAsia" w:ascii="仿宋" w:hAnsi="仿宋" w:eastAsia="仿宋" w:cs="仿宋"/>
          <w:b/>
          <w:bCs/>
          <w:sz w:val="28"/>
          <w:szCs w:val="28"/>
        </w:rPr>
        <w:t>以下指标可供参考。</w:t>
      </w:r>
    </w:p>
    <w:tbl>
      <w:tblPr>
        <w:tblStyle w:val="12"/>
        <w:tblW w:w="90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2"/>
        <w:gridCol w:w="1133"/>
        <w:gridCol w:w="1703"/>
        <w:gridCol w:w="1704"/>
        <w:gridCol w:w="1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shd w:val="clear" w:color="auto" w:fill="DEEBF6" w:themeFill="accent1" w:themeFillTint="32"/>
            <w:vAlign w:val="center"/>
          </w:tcPr>
          <w:p>
            <w:pPr>
              <w:spacing w:line="600" w:lineRule="exact"/>
              <w:jc w:val="center"/>
              <w:rPr>
                <w:rFonts w:hint="eastAsia" w:ascii="仿宋" w:hAnsi="仿宋" w:eastAsia="仿宋" w:cs="仿宋"/>
                <w:b/>
                <w:bCs/>
                <w:sz w:val="28"/>
                <w:szCs w:val="28"/>
              </w:rPr>
            </w:pPr>
            <w:r>
              <w:rPr>
                <w:rFonts w:hint="eastAsia" w:ascii="仿宋" w:hAnsi="仿宋" w:eastAsia="仿宋" w:cs="仿宋"/>
                <w:b/>
                <w:bCs/>
                <w:sz w:val="28"/>
                <w:szCs w:val="28"/>
              </w:rPr>
              <w:t>指标名称</w:t>
            </w:r>
          </w:p>
        </w:tc>
        <w:tc>
          <w:tcPr>
            <w:tcW w:w="1134" w:type="dxa"/>
            <w:shd w:val="clear" w:color="auto" w:fill="DEEBF6" w:themeFill="accent1" w:themeFillTint="32"/>
            <w:vAlign w:val="center"/>
          </w:tcPr>
          <w:p>
            <w:pPr>
              <w:spacing w:line="600" w:lineRule="exact"/>
              <w:jc w:val="center"/>
              <w:rPr>
                <w:rFonts w:hint="eastAsia" w:ascii="仿宋" w:hAnsi="仿宋" w:eastAsia="仿宋" w:cs="仿宋"/>
                <w:b/>
                <w:bCs/>
                <w:sz w:val="28"/>
                <w:szCs w:val="28"/>
              </w:rPr>
            </w:pPr>
            <w:r>
              <w:rPr>
                <w:rFonts w:hint="eastAsia" w:ascii="仿宋" w:hAnsi="仿宋" w:eastAsia="仿宋" w:cs="仿宋"/>
                <w:b/>
                <w:bCs/>
                <w:sz w:val="28"/>
                <w:szCs w:val="28"/>
              </w:rPr>
              <w:t>单位</w:t>
            </w:r>
          </w:p>
        </w:tc>
        <w:tc>
          <w:tcPr>
            <w:tcW w:w="1704" w:type="dxa"/>
            <w:shd w:val="clear" w:color="auto" w:fill="DEEBF6" w:themeFill="accent1" w:themeFillTint="32"/>
            <w:vAlign w:val="center"/>
          </w:tcPr>
          <w:p>
            <w:pPr>
              <w:spacing w:line="600" w:lineRule="exact"/>
              <w:jc w:val="center"/>
              <w:rPr>
                <w:rFonts w:hint="eastAsia" w:ascii="仿宋" w:hAnsi="仿宋" w:eastAsia="仿宋" w:cs="仿宋"/>
                <w:b/>
                <w:bCs/>
                <w:sz w:val="28"/>
                <w:szCs w:val="28"/>
              </w:rPr>
            </w:pPr>
            <w:r>
              <w:rPr>
                <w:rFonts w:hint="eastAsia" w:ascii="仿宋" w:hAnsi="仿宋" w:eastAsia="仿宋" w:cs="仿宋"/>
                <w:b/>
                <w:bCs/>
                <w:sz w:val="28"/>
                <w:szCs w:val="28"/>
              </w:rPr>
              <w:t>2024年</w:t>
            </w:r>
          </w:p>
        </w:tc>
        <w:tc>
          <w:tcPr>
            <w:tcW w:w="1705" w:type="dxa"/>
            <w:shd w:val="clear" w:color="auto" w:fill="DEEBF6" w:themeFill="accent1" w:themeFillTint="32"/>
            <w:vAlign w:val="center"/>
          </w:tcPr>
          <w:p>
            <w:pPr>
              <w:spacing w:line="600" w:lineRule="exact"/>
              <w:jc w:val="center"/>
              <w:rPr>
                <w:rFonts w:hint="eastAsia" w:ascii="仿宋" w:hAnsi="仿宋" w:eastAsia="仿宋" w:cs="仿宋"/>
                <w:b/>
                <w:bCs/>
                <w:sz w:val="28"/>
                <w:szCs w:val="28"/>
              </w:rPr>
            </w:pPr>
            <w:r>
              <w:rPr>
                <w:rFonts w:hint="eastAsia" w:ascii="仿宋" w:hAnsi="仿宋" w:eastAsia="仿宋" w:cs="仿宋"/>
                <w:b/>
                <w:bCs/>
                <w:sz w:val="28"/>
                <w:szCs w:val="28"/>
              </w:rPr>
              <w:t>2023年</w:t>
            </w:r>
          </w:p>
        </w:tc>
        <w:tc>
          <w:tcPr>
            <w:tcW w:w="1716" w:type="dxa"/>
            <w:shd w:val="clear" w:color="auto" w:fill="DEEBF6" w:themeFill="accent1" w:themeFillTint="32"/>
            <w:vAlign w:val="center"/>
          </w:tcPr>
          <w:p>
            <w:pPr>
              <w:spacing w:line="600" w:lineRule="exact"/>
              <w:jc w:val="center"/>
              <w:rPr>
                <w:rFonts w:hint="eastAsia" w:ascii="仿宋" w:hAnsi="仿宋" w:eastAsia="仿宋" w:cs="仿宋"/>
                <w:b/>
                <w:bCs/>
                <w:sz w:val="28"/>
                <w:szCs w:val="28"/>
              </w:rPr>
            </w:pPr>
            <w:r>
              <w:rPr>
                <w:rFonts w:hint="eastAsia" w:ascii="仿宋" w:hAnsi="仿宋" w:eastAsia="仿宋" w:cs="仿宋"/>
                <w:b/>
                <w:bCs/>
                <w:sz w:val="28"/>
                <w:szCs w:val="28"/>
              </w:rPr>
              <w:t>2022年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员工总数</w:t>
            </w:r>
          </w:p>
        </w:tc>
        <w:tc>
          <w:tcPr>
            <w:tcW w:w="1134"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人</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68</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67</w:t>
            </w:r>
          </w:p>
        </w:tc>
        <w:tc>
          <w:tcPr>
            <w:tcW w:w="1723"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女性员工占比</w:t>
            </w:r>
          </w:p>
        </w:tc>
        <w:tc>
          <w:tcPr>
            <w:tcW w:w="1134"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51.47</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55.00</w:t>
            </w:r>
          </w:p>
        </w:tc>
        <w:tc>
          <w:tcPr>
            <w:tcW w:w="1723"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54.55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员工流失率</w:t>
            </w:r>
          </w:p>
        </w:tc>
        <w:tc>
          <w:tcPr>
            <w:tcW w:w="1134"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5.56</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3.00</w:t>
            </w:r>
          </w:p>
        </w:tc>
        <w:tc>
          <w:tcPr>
            <w:tcW w:w="1723"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培训项目数</w:t>
            </w:r>
          </w:p>
        </w:tc>
        <w:tc>
          <w:tcPr>
            <w:tcW w:w="1134"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场</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15</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4</w:t>
            </w:r>
          </w:p>
        </w:tc>
        <w:tc>
          <w:tcPr>
            <w:tcW w:w="1723"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培训人次</w:t>
            </w:r>
          </w:p>
        </w:tc>
        <w:tc>
          <w:tcPr>
            <w:tcW w:w="1134"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人次</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650</w:t>
            </w:r>
          </w:p>
        </w:tc>
        <w:tc>
          <w:tcPr>
            <w:tcW w:w="1701"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240</w:t>
            </w:r>
          </w:p>
        </w:tc>
        <w:tc>
          <w:tcPr>
            <w:tcW w:w="1723" w:type="dxa"/>
            <w:vAlign w:val="center"/>
          </w:tcPr>
          <w:p>
            <w:pPr>
              <w:spacing w:line="600" w:lineRule="exact"/>
              <w:jc w:val="center"/>
              <w:rPr>
                <w:rFonts w:hint="eastAsia" w:ascii="仿宋" w:hAnsi="仿宋" w:eastAsia="仿宋" w:cs="仿宋"/>
                <w:sz w:val="24"/>
              </w:rPr>
            </w:pPr>
            <w:r>
              <w:rPr>
                <w:rFonts w:hint="eastAsia" w:ascii="仿宋" w:hAnsi="仿宋" w:eastAsia="仿宋" w:cs="仿宋"/>
                <w:sz w:val="24"/>
              </w:rPr>
              <w:t>180</w:t>
            </w:r>
          </w:p>
        </w:tc>
      </w:tr>
    </w:tbl>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临清村行具备一套完整的管理体系，建立了完善的考核体系。按时足额发放劳动报酬，并为职工提供安全健康的工作环境，加强劳动保护，积极预防职业病。建立了职工的职业教育和岗位培训制度，不断提高职工的素质和能力。</w:t>
      </w:r>
    </w:p>
    <w:p>
      <w:pPr>
        <w:spacing w:line="600" w:lineRule="exact"/>
        <w:ind w:firstLine="640"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为践行“以人为本”的发展理念，临清村行每年积极组织开展员工健康体检活动，主发起行牵头缴纳的额外医疗保险，解除了员工的后顾之忧，此项福利也优于本地其他单位，每两年量制工装。临清村行工会委员会每年中秋节、端午节、春节等传统节日向员工发放福利，员工生日送上的生日蛋糕，让广大员工切实感受到临清村行大家庭的温暖，进一步提高了员工的向心力和归属感，增强了临清村行的凝聚力。</w:t>
      </w:r>
      <w:r>
        <w:rPr>
          <w:rFonts w:hint="eastAsia" w:ascii="仿宋_GB2312" w:hAnsi="仿宋_GB2312" w:eastAsia="仿宋_GB2312" w:cs="仿宋_GB2312"/>
          <w:b/>
          <w:bCs/>
          <w:sz w:val="32"/>
          <w:szCs w:val="32"/>
        </w:rPr>
        <w:t>金融教育责任</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2024年公众金融教育累计投入9.3万元，服务消费者8000余人次。在金融知识宣传教育方面，利用营业网点电视、LED不间断播放相关金融知识，建立常态化教育宣传区，摆放宣传折页和海报，滚动播放金融知识宣教视频；开展如何防范电信诈骗、网络诈骗、高利息诱骗等相关系列金融知识普及活动；针对“一老一小”群体和农民工等特殊群体，开展形式多样的专题活动，耐心讲解防范金融诈骗的技巧和方法，通过鲜明案例警示广大金融消费者远离高息诱骗。本行采取线上和线下两种方式开展宣传，一方面在开展市场业务拓展的同时，向广大金融消费者宣讲金融知识；另一方面通过微信等线上渠道进行宣传，利用标语、宣传折页及媒体等多种形式，重点讲解人民币反假、防范电信诈骗、网络支付安全等金融知识，有效地将消费者金融知识普及与业务发展相结合，强化群众对金融知识的理解，提高风险意识。</w:t>
      </w:r>
    </w:p>
    <w:p>
      <w:pPr>
        <w:widowControl/>
        <w:ind w:firstLine="562" w:firstLineChars="200"/>
        <w:jc w:val="left"/>
        <w:rPr>
          <w:rFonts w:hint="eastAsia" w:ascii="仿宋" w:hAnsi="仿宋" w:eastAsia="仿宋" w:cs="仿宋"/>
          <w:b/>
          <w:bCs/>
          <w:sz w:val="28"/>
          <w:szCs w:val="28"/>
        </w:rPr>
      </w:pPr>
      <w:r>
        <w:rPr>
          <w:rFonts w:hint="eastAsia" w:ascii="仿宋" w:hAnsi="仿宋" w:eastAsia="仿宋" w:cs="仿宋"/>
          <w:b/>
          <w:bCs/>
          <w:sz w:val="28"/>
          <w:szCs w:val="28"/>
        </w:rPr>
        <w:drawing>
          <wp:inline distT="0" distB="0" distL="114300" distR="114300">
            <wp:extent cx="1638935" cy="1224915"/>
            <wp:effectExtent l="0" t="0" r="18415" b="13335"/>
            <wp:docPr id="10" name="图片 10" descr="微信图片_2025031209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50312093302"/>
                    <pic:cNvPicPr>
                      <a:picLocks noChangeAspect="1"/>
                    </pic:cNvPicPr>
                  </pic:nvPicPr>
                  <pic:blipFill>
                    <a:blip r:embed="rId11"/>
                    <a:stretch>
                      <a:fillRect/>
                    </a:stretch>
                  </pic:blipFill>
                  <pic:spPr>
                    <a:xfrm>
                      <a:off x="0" y="0"/>
                      <a:ext cx="1638935" cy="1224915"/>
                    </a:xfrm>
                    <a:prstGeom prst="rect">
                      <a:avLst/>
                    </a:prstGeom>
                  </pic:spPr>
                </pic:pic>
              </a:graphicData>
            </a:graphic>
          </wp:inline>
        </w:drawing>
      </w:r>
      <w:r>
        <w:rPr>
          <w:rFonts w:hint="eastAsia" w:ascii="仿宋" w:hAnsi="仿宋" w:eastAsia="仿宋" w:cs="仿宋"/>
          <w:b/>
          <w:bCs/>
          <w:sz w:val="28"/>
          <w:szCs w:val="28"/>
        </w:rPr>
        <w:drawing>
          <wp:inline distT="0" distB="0" distL="114300" distR="114300">
            <wp:extent cx="1332230" cy="1223645"/>
            <wp:effectExtent l="0" t="0" r="1270" b="14605"/>
            <wp:docPr id="11" name="图片 11" descr="微信图片_2025031209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50312092945"/>
                    <pic:cNvPicPr>
                      <a:picLocks noChangeAspect="1"/>
                    </pic:cNvPicPr>
                  </pic:nvPicPr>
                  <pic:blipFill>
                    <a:blip r:embed="rId12"/>
                    <a:stretch>
                      <a:fillRect/>
                    </a:stretch>
                  </pic:blipFill>
                  <pic:spPr>
                    <a:xfrm>
                      <a:off x="0" y="0"/>
                      <a:ext cx="1332230" cy="1223645"/>
                    </a:xfrm>
                    <a:prstGeom prst="rect">
                      <a:avLst/>
                    </a:prstGeom>
                  </pic:spPr>
                </pic:pic>
              </a:graphicData>
            </a:graphic>
          </wp:inline>
        </w:drawing>
      </w:r>
      <w:r>
        <w:rPr>
          <w:rFonts w:hint="eastAsia" w:ascii="仿宋" w:hAnsi="仿宋" w:eastAsia="仿宋" w:cs="仿宋"/>
          <w:b/>
          <w:bCs/>
          <w:sz w:val="28"/>
          <w:szCs w:val="28"/>
        </w:rPr>
        <w:drawing>
          <wp:inline distT="0" distB="0" distL="114300" distR="114300">
            <wp:extent cx="1395095" cy="1236345"/>
            <wp:effectExtent l="0" t="0" r="14605" b="1905"/>
            <wp:docPr id="13" name="图片 13" descr="微信图片_2025031209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50312092931"/>
                    <pic:cNvPicPr>
                      <a:picLocks noChangeAspect="1"/>
                    </pic:cNvPicPr>
                  </pic:nvPicPr>
                  <pic:blipFill>
                    <a:blip r:embed="rId13"/>
                    <a:stretch>
                      <a:fillRect/>
                    </a:stretch>
                  </pic:blipFill>
                  <pic:spPr>
                    <a:xfrm>
                      <a:off x="0" y="0"/>
                      <a:ext cx="1395095" cy="1236345"/>
                    </a:xfrm>
                    <a:prstGeom prst="rect">
                      <a:avLst/>
                    </a:prstGeom>
                  </pic:spPr>
                </pic:pic>
              </a:graphicData>
            </a:graphic>
          </wp:inline>
        </w:drawing>
      </w:r>
    </w:p>
    <w:p>
      <w:pPr>
        <w:numPr>
          <w:ilvl w:val="255"/>
          <w:numId w:val="0"/>
        </w:numPr>
        <w:spacing w:line="600" w:lineRule="exact"/>
        <w:jc w:val="left"/>
        <w:rPr>
          <w:rFonts w:ascii="仿宋_GB2312" w:hAnsi="Times New Roman" w:eastAsia="仿宋_GB2312" w:cs="Times New Roman"/>
          <w:sz w:val="32"/>
          <w:szCs w:val="32"/>
        </w:rPr>
      </w:pPr>
      <w:r>
        <w:rPr>
          <w:rFonts w:hint="eastAsia" w:ascii="仿宋_GB2312" w:hAnsi="仿宋_GB2312" w:eastAsia="仿宋_GB2312" w:cs="仿宋_GB2312"/>
          <w:b/>
          <w:bCs/>
          <w:sz w:val="32"/>
          <w:szCs w:val="32"/>
        </w:rPr>
        <w:t>爱心公益责任</w:t>
      </w:r>
    </w:p>
    <w:p>
      <w:pPr>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为落实金融监管总局有关部署，推动金融教育直达基层群众，临清沪农商村镇银行响应“金融为民谱新篇 守护权益防风险”专项活动要求，组织开设了1场“金融知识进社区”活动，在临清市金郝庄镇张伴屯村委会开设金融知识课堂，讲解有关金融知识PPT、播放金融知识相关视频，现场解答居民疑问。课堂内摆放着醒目海报，悬挂着“担当新使命 消保县域行”的宣传横幅。</w:t>
      </w:r>
    </w:p>
    <w:p>
      <w:pPr>
        <w:pStyle w:val="2"/>
      </w:pPr>
      <w:r>
        <w:rPr>
          <w:rFonts w:hint="eastAsia"/>
        </w:rPr>
        <w:drawing>
          <wp:inline distT="0" distB="0" distL="114300" distR="114300">
            <wp:extent cx="2371725" cy="1776730"/>
            <wp:effectExtent l="0" t="0" r="9525" b="13970"/>
            <wp:docPr id="16" name="图片 16"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3"/>
                    <pic:cNvPicPr>
                      <a:picLocks noChangeAspect="1"/>
                    </pic:cNvPicPr>
                  </pic:nvPicPr>
                  <pic:blipFill>
                    <a:blip r:embed="rId14"/>
                    <a:stretch>
                      <a:fillRect/>
                    </a:stretch>
                  </pic:blipFill>
                  <pic:spPr>
                    <a:xfrm>
                      <a:off x="0" y="0"/>
                      <a:ext cx="2371725" cy="1776730"/>
                    </a:xfrm>
                    <a:prstGeom prst="rect">
                      <a:avLst/>
                    </a:prstGeom>
                  </pic:spPr>
                </pic:pic>
              </a:graphicData>
            </a:graphic>
          </wp:inline>
        </w:drawing>
      </w:r>
      <w:r>
        <w:rPr>
          <w:rFonts w:hint="eastAsia"/>
        </w:rPr>
        <w:drawing>
          <wp:inline distT="0" distB="0" distL="114300" distR="114300">
            <wp:extent cx="2198370" cy="1779905"/>
            <wp:effectExtent l="0" t="0" r="11430" b="10795"/>
            <wp:docPr id="17" name="图片 17"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4"/>
                    <pic:cNvPicPr>
                      <a:picLocks noChangeAspect="1"/>
                    </pic:cNvPicPr>
                  </pic:nvPicPr>
                  <pic:blipFill>
                    <a:blip r:embed="rId15"/>
                    <a:stretch>
                      <a:fillRect/>
                    </a:stretch>
                  </pic:blipFill>
                  <pic:spPr>
                    <a:xfrm>
                      <a:off x="0" y="0"/>
                      <a:ext cx="2198370" cy="1779905"/>
                    </a:xfrm>
                    <a:prstGeom prst="rect">
                      <a:avLst/>
                    </a:prstGeom>
                  </pic:spPr>
                </pic:pic>
              </a:graphicData>
            </a:graphic>
          </wp:inline>
        </w:drawing>
      </w:r>
    </w:p>
    <w:p>
      <w:pPr>
        <w:ind w:firstLine="640" w:firstLineChars="200"/>
        <w:jc w:val="left"/>
        <w:rPr>
          <w:rFonts w:hint="eastAsia" w:ascii="仿宋" w:hAnsi="仿宋" w:eastAsia="仿宋" w:cs="仿宋"/>
          <w:sz w:val="28"/>
          <w:szCs w:val="28"/>
          <w:highlight w:val="yellow"/>
        </w:rPr>
      </w:pPr>
      <w:r>
        <w:rPr>
          <w:rFonts w:hint="eastAsia" w:ascii="仿宋_GB2312" w:hAnsi="Times New Roman" w:eastAsia="仿宋_GB2312" w:cs="Times New Roman"/>
          <w:sz w:val="32"/>
          <w:szCs w:val="32"/>
        </w:rPr>
        <w:t>临清村行将继续发扬志愿服务精神，积极参与社区的各类公益活动，为社区居民提供更好的服务，为推动乡村振兴做出更大的贡献。</w:t>
      </w:r>
    </w:p>
    <w:p>
      <w:pPr>
        <w:ind w:firstLine="643" w:firstLineChars="200"/>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第五节  环境信息披露</w:t>
      </w:r>
    </w:p>
    <w:p>
      <w:pPr>
        <w:ind w:firstLine="640" w:firstLineChars="200"/>
        <w:jc w:val="left"/>
        <w:rPr>
          <w:rFonts w:ascii="仿宋_GB2312" w:hAnsi="Times New Roman" w:eastAsia="仿宋_GB2312" w:cs="Times New Roman"/>
          <w:sz w:val="32"/>
          <w:szCs w:val="32"/>
        </w:rPr>
      </w:pPr>
      <w:r>
        <w:rPr>
          <w:rFonts w:hint="eastAsia" w:ascii="仿宋_GB2312" w:hAnsi="Times New Roman" w:eastAsia="仿宋_GB2312" w:cs="Times New Roman"/>
          <w:sz w:val="32"/>
          <w:szCs w:val="32"/>
        </w:rPr>
        <w:t>为贯彻落实国家绿色发展理念，推动绿色金融发展，临清沪农商村镇银行积极响应国家政策，践行社会责任，致力于通过金融手段支持环境保护和可持续发展。</w:t>
      </w:r>
    </w:p>
    <w:p>
      <w:pPr>
        <w:spacing w:line="600" w:lineRule="exact"/>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内部环境管理</w:t>
      </w:r>
    </w:p>
    <w:p>
      <w:pPr>
        <w:ind w:firstLine="640" w:firstLineChars="200"/>
        <w:jc w:val="left"/>
        <w:rPr>
          <w:rFonts w:ascii="仿宋_GB2312" w:hAnsi="Times New Roman" w:eastAsia="仿宋_GB2312" w:cs="Times New Roman"/>
          <w:sz w:val="32"/>
          <w:szCs w:val="32"/>
        </w:rPr>
      </w:pPr>
      <w:r>
        <w:rPr>
          <w:rFonts w:hint="eastAsia" w:ascii="仿宋_GB2312" w:hAnsi="Times New Roman" w:eastAsia="仿宋_GB2312" w:cs="Times New Roman"/>
          <w:sz w:val="32"/>
          <w:szCs w:val="32"/>
        </w:rPr>
        <w:t>1.节能减排</w:t>
      </w:r>
    </w:p>
    <w:p>
      <w:pPr>
        <w:ind w:firstLine="640" w:firstLineChars="200"/>
        <w:jc w:val="left"/>
        <w:rPr>
          <w:rFonts w:ascii="仿宋_GB2312" w:hAnsi="Times New Roman" w:eastAsia="仿宋_GB2312" w:cs="Times New Roman"/>
          <w:sz w:val="32"/>
          <w:szCs w:val="32"/>
        </w:rPr>
      </w:pPr>
      <w:r>
        <w:rPr>
          <w:rFonts w:hint="eastAsia" w:ascii="仿宋_GB2312" w:hAnsi="Times New Roman" w:eastAsia="仿宋_GB2312" w:cs="Times New Roman"/>
          <w:sz w:val="32"/>
          <w:szCs w:val="32"/>
        </w:rPr>
        <w:t>一是推行无纸化办公，减少纸张消耗，2024年纸张使用量同比下降约0.02万张；二是优化办公设备能耗管理，全年电力消耗减少400度；三是倡导员工绿色出行，鼓励使用公共交通工具或新能源汽车。</w:t>
      </w:r>
    </w:p>
    <w:p>
      <w:pPr>
        <w:ind w:firstLine="640" w:firstLineChars="200"/>
        <w:jc w:val="left"/>
        <w:rPr>
          <w:rFonts w:ascii="仿宋_GB2312" w:hAnsi="Times New Roman" w:eastAsia="仿宋_GB2312" w:cs="Times New Roman"/>
          <w:sz w:val="32"/>
          <w:szCs w:val="32"/>
        </w:rPr>
      </w:pPr>
      <w:r>
        <w:rPr>
          <w:rFonts w:hint="eastAsia" w:ascii="仿宋_GB2312" w:hAnsi="Times New Roman" w:eastAsia="仿宋_GB2312" w:cs="Times New Roman"/>
          <w:sz w:val="32"/>
          <w:szCs w:val="32"/>
        </w:rPr>
        <w:t>2. 绿色办公</w:t>
      </w:r>
    </w:p>
    <w:p>
      <w:pPr>
        <w:ind w:firstLine="640" w:firstLineChars="200"/>
        <w:jc w:val="left"/>
        <w:rPr>
          <w:rFonts w:hint="eastAsia" w:ascii="仿宋_GB2312" w:hAnsi="仿宋_GB2312" w:eastAsia="仿宋_GB2312" w:cs="仿宋_GB2312"/>
          <w:b/>
          <w:bCs/>
          <w:sz w:val="32"/>
          <w:szCs w:val="32"/>
        </w:rPr>
      </w:pPr>
      <w:r>
        <w:rPr>
          <w:rFonts w:hint="eastAsia" w:ascii="仿宋_GB2312" w:hAnsi="Times New Roman" w:eastAsia="仿宋_GB2312" w:cs="Times New Roman"/>
          <w:sz w:val="32"/>
          <w:szCs w:val="32"/>
        </w:rPr>
        <w:t>一是要求员工进行垃圾分类，提高资源回收利用率；二是推广电子化会议系统，减少差旅产生的碳排放。</w:t>
      </w:r>
    </w:p>
    <w:p>
      <w:pPr>
        <w:spacing w:line="600" w:lineRule="exact"/>
        <w:jc w:val="left"/>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社会环境责任</w:t>
      </w:r>
    </w:p>
    <w:p>
      <w:pPr>
        <w:spacing w:line="576"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临清村行始终热心社会公益，秉持着责任和担当的精神，每周组织员工前往临清市小三里社区开展创城志愿服务活动，为社会公众谋求切身利益。作为一家致力于服务地方经济发展的银行，临清村行一直以来积极参与社会公益活动，关注和回馈社会。特别是在临清市小三里社区，员工每周都会组织前往，开展创城志愿服务活动。</w:t>
      </w:r>
    </w:p>
    <w:p>
      <w:pPr>
        <w:pStyle w:val="2"/>
      </w:pPr>
      <w:r>
        <w:rPr>
          <w:rFonts w:hint="eastAsia" w:ascii="仿宋_GB2312" w:hAnsi="Times New Roman" w:eastAsia="仿宋_GB2312" w:cs="Times New Roman"/>
          <w:sz w:val="32"/>
          <w:szCs w:val="32"/>
        </w:rPr>
        <w:drawing>
          <wp:inline distT="0" distB="0" distL="114300" distR="114300">
            <wp:extent cx="2330450" cy="4140200"/>
            <wp:effectExtent l="0" t="0" r="12700" b="12700"/>
            <wp:docPr id="18" name="图片 18" descr="微信图片_2025031209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50312093036"/>
                    <pic:cNvPicPr>
                      <a:picLocks noChangeAspect="1"/>
                    </pic:cNvPicPr>
                  </pic:nvPicPr>
                  <pic:blipFill>
                    <a:blip r:embed="rId16"/>
                    <a:stretch>
                      <a:fillRect/>
                    </a:stretch>
                  </pic:blipFill>
                  <pic:spPr>
                    <a:xfrm>
                      <a:off x="0" y="0"/>
                      <a:ext cx="2330450" cy="4140200"/>
                    </a:xfrm>
                    <a:prstGeom prst="rect">
                      <a:avLst/>
                    </a:prstGeom>
                  </pic:spPr>
                </pic:pic>
              </a:graphicData>
            </a:graphic>
          </wp:inline>
        </w:drawing>
      </w:r>
      <w:r>
        <w:rPr>
          <w:rFonts w:hint="eastAsia" w:ascii="仿宋_GB2312" w:hAnsi="Times New Roman" w:eastAsia="仿宋_GB2312" w:cs="Times New Roman"/>
          <w:sz w:val="32"/>
          <w:szCs w:val="32"/>
        </w:rPr>
        <w:drawing>
          <wp:inline distT="0" distB="0" distL="114300" distR="114300">
            <wp:extent cx="2308860" cy="4150360"/>
            <wp:effectExtent l="0" t="0" r="15240" b="2540"/>
            <wp:docPr id="19" name="图片 19" descr="微信图片_2025031209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50312093051"/>
                    <pic:cNvPicPr>
                      <a:picLocks noChangeAspect="1"/>
                    </pic:cNvPicPr>
                  </pic:nvPicPr>
                  <pic:blipFill>
                    <a:blip r:embed="rId17"/>
                    <a:stretch>
                      <a:fillRect/>
                    </a:stretch>
                  </pic:blipFill>
                  <pic:spPr>
                    <a:xfrm>
                      <a:off x="0" y="0"/>
                      <a:ext cx="2308860" cy="4150360"/>
                    </a:xfrm>
                    <a:prstGeom prst="rect">
                      <a:avLst/>
                    </a:prstGeom>
                  </pic:spPr>
                </pic:pic>
              </a:graphicData>
            </a:graphic>
          </wp:inline>
        </w:drawing>
      </w:r>
    </w:p>
    <w:p>
      <w:pPr>
        <w:spacing w:line="576"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每周的志愿服务活动以关注社区环境整治和改善为主要目标。员工们自发组成志愿者小组，配合社区相关部门，投入到社区的整洁化、绿化和美化工作中。积极参与社区的垃圾清理、废品回收等活动，同时还广泛宣传环保意识和节约资源的重要性。</w:t>
      </w:r>
    </w:p>
    <w:p>
      <w:pPr>
        <w:spacing w:line="576"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此外，临清村行还组织员工开展金融知识宣传活动，向社区居民普及金融知识，提供咨询和帮助，帮助他们更好地理解和利用金融服务，实现个人和家庭的经济稳定和发展。</w:t>
      </w:r>
    </w:p>
    <w:p>
      <w:pPr>
        <w:pStyle w:val="2"/>
        <w:rPr>
          <w:rFonts w:eastAsia="仿宋_GB2312"/>
        </w:rPr>
      </w:pPr>
      <w:r>
        <w:rPr>
          <w:rFonts w:hint="eastAsia" w:eastAsia="仿宋_GB2312"/>
        </w:rPr>
        <w:drawing>
          <wp:inline distT="0" distB="0" distL="114300" distR="114300">
            <wp:extent cx="1912620" cy="1406525"/>
            <wp:effectExtent l="0" t="0" r="11430" b="3175"/>
            <wp:docPr id="20" name="图片 20" descr="微信图片_2025021011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50210113352"/>
                    <pic:cNvPicPr>
                      <a:picLocks noChangeAspect="1"/>
                    </pic:cNvPicPr>
                  </pic:nvPicPr>
                  <pic:blipFill>
                    <a:blip r:embed="rId18"/>
                    <a:stretch>
                      <a:fillRect/>
                    </a:stretch>
                  </pic:blipFill>
                  <pic:spPr>
                    <a:xfrm>
                      <a:off x="0" y="0"/>
                      <a:ext cx="1912620" cy="1406525"/>
                    </a:xfrm>
                    <a:prstGeom prst="rect">
                      <a:avLst/>
                    </a:prstGeom>
                  </pic:spPr>
                </pic:pic>
              </a:graphicData>
            </a:graphic>
          </wp:inline>
        </w:drawing>
      </w:r>
      <w:r>
        <w:rPr>
          <w:rFonts w:hint="eastAsia" w:eastAsia="仿宋_GB2312"/>
        </w:rPr>
        <w:drawing>
          <wp:inline distT="0" distB="0" distL="114300" distR="114300">
            <wp:extent cx="2005965" cy="1393825"/>
            <wp:effectExtent l="0" t="0" r="13335" b="15875"/>
            <wp:docPr id="21" name="图片 21" descr="微信图片_2025021011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50210113358"/>
                    <pic:cNvPicPr>
                      <a:picLocks noChangeAspect="1"/>
                    </pic:cNvPicPr>
                  </pic:nvPicPr>
                  <pic:blipFill>
                    <a:blip r:embed="rId19"/>
                    <a:stretch>
                      <a:fillRect/>
                    </a:stretch>
                  </pic:blipFill>
                  <pic:spPr>
                    <a:xfrm>
                      <a:off x="0" y="0"/>
                      <a:ext cx="2005965" cy="1393825"/>
                    </a:xfrm>
                    <a:prstGeom prst="rect">
                      <a:avLst/>
                    </a:prstGeom>
                  </pic:spPr>
                </pic:pic>
              </a:graphicData>
            </a:graphic>
          </wp:inline>
        </w:drawing>
      </w:r>
    </w:p>
    <w:p>
      <w:pPr>
        <w:spacing w:line="576"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这些志愿服务活动不仅提升了社区居民的环境意识和金融素养，也增强了社区凝聚力和归属感。临清村行始终秉持着“服务三农、支持小微、促进发展”的经营理念，用实际行动践行社会责任，为社会公众谋求切身利益。</w:t>
      </w:r>
    </w:p>
    <w:p>
      <w:pPr>
        <w:spacing w:line="576"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Times New Roman"/>
          <w:sz w:val="32"/>
          <w:szCs w:val="32"/>
        </w:rPr>
        <w:t>通过这种持续的志愿服务活动，临清村行为社区带来了积极的变化和影响。社区的环境整治得到了改善，居民的金融知识和服务意识也得到了提升。同时，这种公益活动也树立了银行的良好形象，加深了与社区居民的互动和合作，促进了临清村行与社会公众之间的良好关系。</w:t>
      </w:r>
    </w:p>
    <w:p>
      <w:pPr>
        <w:spacing w:line="576" w:lineRule="exact"/>
        <w:ind w:firstLine="640" w:firstLineChars="200"/>
        <w:rPr>
          <w:rFonts w:hint="eastAsia" w:ascii="仿宋_GB2312" w:hAnsi="仿宋_GB2312" w:eastAsia="仿宋_GB2312" w:cs="仿宋_GB2312"/>
          <w:b/>
          <w:bCs/>
          <w:sz w:val="32"/>
          <w:szCs w:val="32"/>
        </w:rPr>
      </w:pPr>
      <w:r>
        <w:rPr>
          <w:rFonts w:hint="eastAsia" w:ascii="仿宋_GB2312" w:hAnsi="Times New Roman" w:eastAsia="仿宋_GB2312" w:cs="Times New Roman"/>
          <w:sz w:val="32"/>
          <w:szCs w:val="32"/>
        </w:rPr>
        <w:t>临清村行将继续坚持热心公益事业，用实际行动回报社会，为农村经济的发展和社区的进步贡献力量。</w:t>
      </w:r>
    </w:p>
    <w:p>
      <w:pPr>
        <w:ind w:firstLine="643" w:firstLineChars="200"/>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第六节  责任展望</w:t>
      </w:r>
    </w:p>
    <w:p>
      <w:pPr>
        <w:spacing w:line="576" w:lineRule="exact"/>
        <w:ind w:firstLine="640" w:firstLineChars="200"/>
        <w:rPr>
          <w:rFonts w:hint="eastAsia" w:ascii="仿宋" w:hAnsi="仿宋" w:eastAsia="仿宋" w:cs="仿宋"/>
          <w:b/>
          <w:bCs/>
          <w:sz w:val="28"/>
          <w:szCs w:val="28"/>
        </w:rPr>
      </w:pPr>
      <w:r>
        <w:rPr>
          <w:rFonts w:hint="eastAsia" w:ascii="仿宋_GB2312" w:eastAsia="仿宋_GB2312" w:hAnsiTheme="minorEastAsia"/>
          <w:color w:val="000000" w:themeColor="text1"/>
          <w:sz w:val="32"/>
          <w:szCs w:val="32"/>
          <w14:textFill>
            <w14:solidFill>
              <w14:schemeClr w14:val="tx1"/>
            </w14:solidFill>
          </w14:textFill>
        </w:rPr>
        <w:t>临清村行以打造一家服务高效、资产优良、管理规范、特色鲜明的村镇银行为愿景，坚持以创新的服务理念和良好的职业操守，更好的服务于实体、服务于城乡，</w:t>
      </w:r>
      <w:r>
        <w:rPr>
          <w:rFonts w:ascii="仿宋_GB2312" w:hAnsi="仿宋_GB2312" w:eastAsia="仿宋_GB2312" w:cs="Times New Roman"/>
          <w:sz w:val="32"/>
          <w:szCs w:val="20"/>
        </w:rPr>
        <w:t>全面推动各项业务稳健快速发展，大力提升综合竞争能力。</w:t>
      </w:r>
      <w:r>
        <w:rPr>
          <w:rFonts w:hint="eastAsia" w:ascii="仿宋_GB2312" w:hAnsi="仿宋_GB2312" w:eastAsia="仿宋_GB2312" w:cs="Times New Roman"/>
          <w:sz w:val="32"/>
          <w:szCs w:val="20"/>
        </w:rPr>
        <w:t>2024年</w:t>
      </w:r>
      <w:r>
        <w:rPr>
          <w:rFonts w:hint="eastAsia" w:ascii="仿宋_GB2312" w:hAnsi="仿宋_GB2312" w:eastAsia="仿宋_GB2312" w:cs="仿宋_GB2312"/>
          <w:sz w:val="32"/>
          <w:szCs w:val="32"/>
        </w:rPr>
        <w:t>临清村行</w:t>
      </w:r>
      <w:r>
        <w:rPr>
          <w:rFonts w:hint="eastAsia" w:ascii="仿宋_GB2312" w:hAnsi="仿宋_GB2312" w:eastAsia="仿宋_GB2312" w:cs="Times New Roman"/>
          <w:sz w:val="32"/>
          <w:szCs w:val="20"/>
        </w:rPr>
        <w:t>将以市场为导向，以客户为中心，以规模为基础，以质量为效益，在主抓传统业务的基础上，不断推进产品创新和综合营销，</w:t>
      </w:r>
      <w:r>
        <w:rPr>
          <w:rFonts w:hint="eastAsia" w:ascii="仿宋_GB2312" w:eastAsia="仿宋_GB2312" w:hAnsiTheme="minorEastAsia"/>
          <w:color w:val="000000" w:themeColor="text1"/>
          <w:sz w:val="32"/>
          <w:szCs w:val="32"/>
          <w14:textFill>
            <w14:solidFill>
              <w14:schemeClr w14:val="tx1"/>
            </w14:solidFill>
          </w14:textFill>
        </w:rPr>
        <w:t>实现临清村行价值的升华。</w:t>
      </w:r>
    </w:p>
    <w:p>
      <w:pPr>
        <w:spacing w:line="60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读者反馈</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感谢您阅读《临清沪农商村镇银行2024年社会责任报告》。为更好地向您及其他利益相关方提供有价值的信息，促进临清村行提高履行社会责任的能力和水平，我们诚挚邀请您对本报告提出宝贵意见和建议，并通过以下方式反馈给我们。</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电话：0635-2976707</w:t>
      </w:r>
    </w:p>
    <w:p>
      <w:pPr>
        <w:spacing w:line="600" w:lineRule="exact"/>
        <w:ind w:firstLine="640" w:firstLineChars="20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rPr>
        <w:t>地址：山东省临清市古楼新村2988号中央帝景A区12号</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邮编：252600</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联系人：付嘉慧</w:t>
      </w:r>
    </w:p>
    <w:p>
      <w:pPr>
        <w:numPr>
          <w:ilvl w:val="0"/>
          <w:numId w:val="2"/>
        </w:numPr>
        <w:spacing w:line="600" w:lineRule="exact"/>
        <w:ind w:left="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您属于哪类利益相关方？</w:t>
      </w:r>
    </w:p>
    <w:p>
      <w:pPr>
        <w:spacing w:line="600" w:lineRule="exact"/>
        <w:ind w:firstLine="640" w:firstLineChars="20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color w:val="000000"/>
          <w:kern w:val="0"/>
          <w:sz w:val="32"/>
          <w:szCs w:val="32"/>
        </w:rPr>
        <w:t>股东与投资者</w:t>
      </w:r>
      <w:r>
        <w:rPr>
          <w:rFonts w:hint="eastAsia" w:ascii="仿宋_GB2312" w:hAnsi="仿宋_GB2312" w:eastAsia="仿宋_GB2312" w:cs="仿宋_GB2312"/>
          <w:sz w:val="32"/>
          <w:szCs w:val="32"/>
        </w:rPr>
        <w:t>□</w:t>
      </w:r>
      <w:r>
        <w:rPr>
          <w:rFonts w:hint="eastAsia" w:ascii="仿宋_GB2312" w:hAnsi="仿宋_GB2312" w:eastAsia="仿宋_GB2312" w:cs="仿宋_GB2312"/>
          <w:color w:val="000000"/>
          <w:kern w:val="0"/>
          <w:sz w:val="32"/>
          <w:szCs w:val="32"/>
        </w:rPr>
        <w:t>客户</w:t>
      </w:r>
      <w:r>
        <w:rPr>
          <w:rFonts w:hint="eastAsia" w:ascii="仿宋_GB2312" w:hAnsi="仿宋_GB2312" w:eastAsia="仿宋_GB2312" w:cs="仿宋_GB2312"/>
          <w:sz w:val="32"/>
          <w:szCs w:val="32"/>
        </w:rPr>
        <w:t>□</w:t>
      </w:r>
      <w:r>
        <w:rPr>
          <w:rFonts w:hint="eastAsia" w:ascii="仿宋_GB2312" w:hAnsi="仿宋_GB2312" w:eastAsia="仿宋_GB2312" w:cs="仿宋_GB2312"/>
          <w:color w:val="000000"/>
          <w:kern w:val="0"/>
          <w:sz w:val="32"/>
          <w:szCs w:val="32"/>
        </w:rPr>
        <w:t>员工</w:t>
      </w:r>
      <w:r>
        <w:rPr>
          <w:rFonts w:hint="eastAsia" w:ascii="仿宋_GB2312" w:hAnsi="仿宋_GB2312" w:eastAsia="仿宋_GB2312" w:cs="仿宋_GB2312"/>
          <w:sz w:val="32"/>
          <w:szCs w:val="32"/>
        </w:rPr>
        <w:t>□</w:t>
      </w:r>
      <w:r>
        <w:rPr>
          <w:rFonts w:hint="eastAsia" w:ascii="仿宋_GB2312" w:hAnsi="仿宋_GB2312" w:eastAsia="仿宋_GB2312" w:cs="仿宋_GB2312"/>
          <w:color w:val="000000"/>
          <w:kern w:val="0"/>
          <w:sz w:val="32"/>
          <w:szCs w:val="32"/>
        </w:rPr>
        <w:t>政府</w:t>
      </w:r>
      <w:r>
        <w:rPr>
          <w:rFonts w:hint="eastAsia" w:ascii="仿宋_GB2312" w:hAnsi="仿宋_GB2312" w:eastAsia="仿宋_GB2312" w:cs="仿宋_GB2312"/>
          <w:sz w:val="32"/>
          <w:szCs w:val="32"/>
        </w:rPr>
        <w:t>□</w:t>
      </w:r>
      <w:r>
        <w:rPr>
          <w:rFonts w:hint="eastAsia" w:ascii="仿宋_GB2312" w:hAnsi="仿宋_GB2312" w:eastAsia="仿宋_GB2312" w:cs="仿宋_GB2312"/>
          <w:color w:val="000000"/>
          <w:kern w:val="0"/>
          <w:sz w:val="32"/>
          <w:szCs w:val="32"/>
        </w:rPr>
        <w:t>监管机构</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color w:val="000000"/>
          <w:kern w:val="0"/>
          <w:sz w:val="32"/>
          <w:szCs w:val="32"/>
        </w:rPr>
        <w:t>供应商与合作伙伴</w:t>
      </w:r>
      <w:r>
        <w:rPr>
          <w:rFonts w:hint="eastAsia" w:ascii="仿宋_GB2312" w:hAnsi="仿宋_GB2312" w:eastAsia="仿宋_GB2312" w:cs="仿宋_GB2312"/>
          <w:sz w:val="32"/>
          <w:szCs w:val="32"/>
        </w:rPr>
        <w:t>□</w:t>
      </w:r>
      <w:r>
        <w:rPr>
          <w:rFonts w:hint="eastAsia" w:ascii="仿宋_GB2312" w:hAnsi="仿宋_GB2312" w:eastAsia="仿宋_GB2312" w:cs="仿宋_GB2312"/>
          <w:color w:val="000000"/>
          <w:kern w:val="0"/>
          <w:sz w:val="32"/>
          <w:szCs w:val="32"/>
        </w:rPr>
        <w:t>社区</w:t>
      </w:r>
      <w:r>
        <w:rPr>
          <w:rFonts w:hint="eastAsia" w:ascii="仿宋_GB2312" w:hAnsi="仿宋_GB2312" w:eastAsia="仿宋_GB2312" w:cs="仿宋_GB2312"/>
          <w:sz w:val="32"/>
          <w:szCs w:val="32"/>
        </w:rPr>
        <w:t>□</w:t>
      </w:r>
      <w:r>
        <w:rPr>
          <w:rFonts w:hint="eastAsia" w:ascii="仿宋_GB2312" w:hAnsi="仿宋_GB2312" w:eastAsia="仿宋_GB2312" w:cs="仿宋_GB2312"/>
          <w:color w:val="000000"/>
          <w:kern w:val="0"/>
          <w:sz w:val="32"/>
          <w:szCs w:val="32"/>
        </w:rPr>
        <w:t>公众与媒体</w:t>
      </w:r>
      <w:r>
        <w:rPr>
          <w:rFonts w:hint="eastAsia" w:ascii="仿宋_GB2312" w:hAnsi="仿宋_GB2312" w:eastAsia="仿宋_GB2312" w:cs="仿宋_GB2312"/>
          <w:sz w:val="32"/>
          <w:szCs w:val="32"/>
        </w:rPr>
        <w:t>□</w:t>
      </w:r>
      <w:r>
        <w:rPr>
          <w:rFonts w:hint="eastAsia" w:ascii="仿宋_GB2312" w:hAnsi="仿宋_GB2312" w:eastAsia="仿宋_GB2312" w:cs="仿宋_GB2312"/>
          <w:color w:val="000000"/>
          <w:kern w:val="0"/>
          <w:sz w:val="32"/>
          <w:szCs w:val="32"/>
        </w:rPr>
        <w:t>其他</w:t>
      </w:r>
    </w:p>
    <w:p>
      <w:pPr>
        <w:numPr>
          <w:ilvl w:val="0"/>
          <w:numId w:val="2"/>
        </w:numPr>
        <w:spacing w:line="600" w:lineRule="exact"/>
        <w:ind w:left="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您对临清村行企业社会责任报告的总体评价：</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□好□较好□一般□较不好□不好</w:t>
      </w:r>
    </w:p>
    <w:p>
      <w:pPr>
        <w:numPr>
          <w:ilvl w:val="0"/>
          <w:numId w:val="2"/>
        </w:numPr>
        <w:spacing w:line="600" w:lineRule="exact"/>
        <w:ind w:left="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您对临清村行履行经济、社会、环境责任的评价：</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经济责任：□好□较好□一般□较不好□不好</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社会责任：□好□较好□一般□较不好□不好</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环境责任：□好□较好□一般□较不好□不好</w:t>
      </w:r>
    </w:p>
    <w:p>
      <w:pPr>
        <w:numPr>
          <w:ilvl w:val="0"/>
          <w:numId w:val="2"/>
        </w:numPr>
        <w:spacing w:line="600" w:lineRule="exact"/>
        <w:ind w:left="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您认为本报告能否反映临清村行的社会责任实践对经济、社会、环境的影响？</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□能很好反映□能较好反映□能一般反映□不太能反映□不能反映</w:t>
      </w:r>
    </w:p>
    <w:p>
      <w:pPr>
        <w:numPr>
          <w:ilvl w:val="0"/>
          <w:numId w:val="2"/>
        </w:numPr>
        <w:spacing w:line="600" w:lineRule="exact"/>
        <w:ind w:left="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您认为本报告披露的信息、数据、指标的清晰度、准确度和完整性如何？</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清晰度：□好□较好□一般□较不好□不好</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准确度：□好□较好□一般□较不好□不好</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完整性：□好□较好□一般□较不好□不好</w:t>
      </w:r>
    </w:p>
    <w:p>
      <w:pPr>
        <w:numPr>
          <w:ilvl w:val="0"/>
          <w:numId w:val="2"/>
        </w:numPr>
        <w:spacing w:line="600" w:lineRule="exact"/>
        <w:ind w:left="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您认为本报告的内容安排和版式设计是否方便阅读？</w:t>
      </w:r>
    </w:p>
    <w:p>
      <w:pPr>
        <w:spacing w:line="60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□是□一般□否</w:t>
      </w:r>
    </w:p>
    <w:p>
      <w:pPr>
        <w:numPr>
          <w:ilvl w:val="0"/>
          <w:numId w:val="2"/>
        </w:numPr>
        <w:spacing w:line="600" w:lineRule="exact"/>
        <w:ind w:left="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您对临清村行企业社会责任工作和本报告的其他意见和建议。</w:t>
      </w:r>
    </w:p>
    <w:p>
      <w:pPr>
        <w:spacing w:line="600" w:lineRule="exact"/>
        <w:rPr>
          <w:rFonts w:hint="eastAsia" w:ascii="仿宋" w:hAnsi="仿宋" w:eastAsia="仿宋" w:cs="仿宋"/>
          <w:sz w:val="22"/>
          <w:szCs w:val="2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96175044"/>
      <w:docPartObj>
        <w:docPartGallery w:val="autotext"/>
      </w:docPartObj>
    </w:sdtPr>
    <w:sdtContent>
      <w:p>
        <w:pPr>
          <w:pStyle w:val="8"/>
          <w:jc w:val="center"/>
          <w:rPr>
            <w:rFonts w:hint="eastAsia"/>
          </w:rPr>
        </w:pPr>
        <w:r>
          <w:fldChar w:fldCharType="begin"/>
        </w:r>
        <w:r>
          <w:instrText xml:space="preserve">PAGE   \* MERGEFORMAT</w:instrText>
        </w:r>
        <w:r>
          <w:fldChar w:fldCharType="separate"/>
        </w:r>
        <w:r>
          <w:rPr>
            <w:lang w:val="zh-CN"/>
          </w:rPr>
          <w:t>2</w:t>
        </w:r>
        <w:r>
          <w:fldChar w:fldCharType="end"/>
        </w:r>
      </w:p>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jc w:val="right"/>
      <w:rPr>
        <w:rFonts w:eastAsia="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273463E"/>
    <w:multiLevelType w:val="singleLevel"/>
    <w:tmpl w:val="1273463E"/>
    <w:lvl w:ilvl="0" w:tentative="0">
      <w:start w:val="1"/>
      <w:numFmt w:val="decimal"/>
      <w:lvlText w:val="%1."/>
      <w:lvlJc w:val="left"/>
      <w:pPr>
        <w:ind w:left="425" w:hanging="425"/>
      </w:pPr>
      <w:rPr>
        <w:rFonts w:hint="default"/>
      </w:rPr>
    </w:lvl>
  </w:abstractNum>
  <w:abstractNum w:abstractNumId="1">
    <w:nsid w:val="48E281F6"/>
    <w:multiLevelType w:val="singleLevel"/>
    <w:tmpl w:val="48E281F6"/>
    <w:lvl w:ilvl="0" w:tentative="0">
      <w:start w:val="1"/>
      <w:numFmt w:val="chineseCounting"/>
      <w:suff w:val="space"/>
      <w:lvlText w:val="第%1节"/>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NhMTg0NTUwYmU4NjgxYjE2ZDY4ODc5NjNhMmIyMGQifQ=="/>
  </w:docVars>
  <w:rsids>
    <w:rsidRoot w:val="77DA6B38"/>
    <w:rsid w:val="00196CBE"/>
    <w:rsid w:val="00215E2C"/>
    <w:rsid w:val="00453927"/>
    <w:rsid w:val="00485456"/>
    <w:rsid w:val="00DD02E2"/>
    <w:rsid w:val="00DD1B12"/>
    <w:rsid w:val="00EA2565"/>
    <w:rsid w:val="00F262B1"/>
    <w:rsid w:val="038140E6"/>
    <w:rsid w:val="052C719D"/>
    <w:rsid w:val="076B00D8"/>
    <w:rsid w:val="08950206"/>
    <w:rsid w:val="08E628C0"/>
    <w:rsid w:val="0981197F"/>
    <w:rsid w:val="09D703A1"/>
    <w:rsid w:val="0C576EBD"/>
    <w:rsid w:val="0C6641B3"/>
    <w:rsid w:val="0C9C69B5"/>
    <w:rsid w:val="0CA14C28"/>
    <w:rsid w:val="0DA150F5"/>
    <w:rsid w:val="0EFC6F58"/>
    <w:rsid w:val="0FD87FE3"/>
    <w:rsid w:val="12AB4C4B"/>
    <w:rsid w:val="13C01A62"/>
    <w:rsid w:val="13DC1813"/>
    <w:rsid w:val="15B13CA7"/>
    <w:rsid w:val="17F2528E"/>
    <w:rsid w:val="18495F04"/>
    <w:rsid w:val="188A5028"/>
    <w:rsid w:val="192317DB"/>
    <w:rsid w:val="192E12E2"/>
    <w:rsid w:val="1C646037"/>
    <w:rsid w:val="1DFF5500"/>
    <w:rsid w:val="1EE55D5C"/>
    <w:rsid w:val="212919D4"/>
    <w:rsid w:val="227E462E"/>
    <w:rsid w:val="238C1FCF"/>
    <w:rsid w:val="288F31DA"/>
    <w:rsid w:val="28C12E2E"/>
    <w:rsid w:val="2DE71E22"/>
    <w:rsid w:val="2E06565A"/>
    <w:rsid w:val="2E18054D"/>
    <w:rsid w:val="2E23359E"/>
    <w:rsid w:val="2E8160FB"/>
    <w:rsid w:val="2E817976"/>
    <w:rsid w:val="30B26889"/>
    <w:rsid w:val="3103168E"/>
    <w:rsid w:val="332C7427"/>
    <w:rsid w:val="3622185C"/>
    <w:rsid w:val="369C408E"/>
    <w:rsid w:val="3991309D"/>
    <w:rsid w:val="39C17EB8"/>
    <w:rsid w:val="3B3E6B85"/>
    <w:rsid w:val="3E772E9D"/>
    <w:rsid w:val="3FC1467C"/>
    <w:rsid w:val="400A044E"/>
    <w:rsid w:val="407341E5"/>
    <w:rsid w:val="42C32066"/>
    <w:rsid w:val="42CF6B2E"/>
    <w:rsid w:val="43530CFB"/>
    <w:rsid w:val="436F244F"/>
    <w:rsid w:val="45BC1DBD"/>
    <w:rsid w:val="478D5FA1"/>
    <w:rsid w:val="47B131D3"/>
    <w:rsid w:val="47D26D73"/>
    <w:rsid w:val="499F0AA5"/>
    <w:rsid w:val="4CF54797"/>
    <w:rsid w:val="4D634455"/>
    <w:rsid w:val="4E7F035C"/>
    <w:rsid w:val="4EF42C0A"/>
    <w:rsid w:val="4F295208"/>
    <w:rsid w:val="4F4D7371"/>
    <w:rsid w:val="50A324ED"/>
    <w:rsid w:val="512F09A7"/>
    <w:rsid w:val="5242391E"/>
    <w:rsid w:val="52934EF4"/>
    <w:rsid w:val="545A4345"/>
    <w:rsid w:val="54D0232F"/>
    <w:rsid w:val="55262462"/>
    <w:rsid w:val="5648214E"/>
    <w:rsid w:val="57C50466"/>
    <w:rsid w:val="58494D38"/>
    <w:rsid w:val="59C528AF"/>
    <w:rsid w:val="5A0C7465"/>
    <w:rsid w:val="5A593714"/>
    <w:rsid w:val="5A923736"/>
    <w:rsid w:val="5AD32A01"/>
    <w:rsid w:val="5ADB5E14"/>
    <w:rsid w:val="5C316C98"/>
    <w:rsid w:val="5C4B39DA"/>
    <w:rsid w:val="5D1219A6"/>
    <w:rsid w:val="5FE817A1"/>
    <w:rsid w:val="6263579B"/>
    <w:rsid w:val="67CA1271"/>
    <w:rsid w:val="685B7F12"/>
    <w:rsid w:val="68E8091E"/>
    <w:rsid w:val="69A16071"/>
    <w:rsid w:val="6A2F09B2"/>
    <w:rsid w:val="6AC1406F"/>
    <w:rsid w:val="6ECE54E6"/>
    <w:rsid w:val="6EE61184"/>
    <w:rsid w:val="6EFA1B04"/>
    <w:rsid w:val="6FDB1138"/>
    <w:rsid w:val="705060FF"/>
    <w:rsid w:val="70566D8E"/>
    <w:rsid w:val="714C3362"/>
    <w:rsid w:val="71AC3484"/>
    <w:rsid w:val="71F1363E"/>
    <w:rsid w:val="72AD6F16"/>
    <w:rsid w:val="74FA76FB"/>
    <w:rsid w:val="77364334"/>
    <w:rsid w:val="77D23A76"/>
    <w:rsid w:val="77DA6B38"/>
    <w:rsid w:val="79CD7CD6"/>
    <w:rsid w:val="7AF73AB0"/>
    <w:rsid w:val="7E7C4D5C"/>
    <w:rsid w:val="7EB947D4"/>
    <w:rsid w:val="7EBF32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unhideWhenUsed/>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qFormat/>
    <w:uiPriority w:val="0"/>
    <w:pPr>
      <w:spacing w:line="560" w:lineRule="exact"/>
      <w:ind w:firstLine="1440" w:firstLineChars="200"/>
      <w:jc w:val="left"/>
      <w:outlineLvl w:val="2"/>
    </w:pPr>
    <w:rPr>
      <w:rFonts w:ascii="宋体" w:hAnsi="宋体" w:eastAsia="仿宋_GB2312" w:cs="宋体"/>
      <w:b/>
      <w:bCs/>
      <w:kern w:val="0"/>
      <w:sz w:val="32"/>
      <w:szCs w:val="27"/>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qFormat/>
    <w:uiPriority w:val="0"/>
    <w:pPr>
      <w:spacing w:line="300" w:lineRule="auto"/>
      <w:ind w:left="315" w:firstLine="585"/>
    </w:pPr>
    <w:rPr>
      <w:sz w:val="24"/>
      <w:szCs w:val="20"/>
    </w:rPr>
  </w:style>
  <w:style w:type="paragraph" w:styleId="5">
    <w:name w:val="Document Map"/>
    <w:basedOn w:val="1"/>
    <w:qFormat/>
    <w:uiPriority w:val="0"/>
    <w:rPr>
      <w:rFonts w:ascii="宋体" w:hAnsi="宋体"/>
      <w:sz w:val="18"/>
      <w:szCs w:val="18"/>
    </w:rPr>
  </w:style>
  <w:style w:type="paragraph" w:styleId="6">
    <w:name w:val="annotation text"/>
    <w:basedOn w:val="1"/>
    <w:qFormat/>
    <w:uiPriority w:val="0"/>
    <w:pPr>
      <w:jc w:val="left"/>
    </w:pPr>
  </w:style>
  <w:style w:type="paragraph" w:styleId="7">
    <w:name w:val="Body Text"/>
    <w:basedOn w:val="1"/>
    <w:next w:val="1"/>
    <w:qFormat/>
    <w:uiPriority w:val="0"/>
    <w:pPr>
      <w:spacing w:after="120"/>
    </w:pPr>
    <w:rPr>
      <w:szCs w:val="22"/>
    </w:rPr>
  </w:style>
  <w:style w:type="paragraph" w:styleId="8">
    <w:name w:val="footer"/>
    <w:basedOn w:val="1"/>
    <w:link w:val="16"/>
    <w:qFormat/>
    <w:uiPriority w:val="99"/>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Normal (Web)"/>
    <w:basedOn w:val="1"/>
    <w:qFormat/>
    <w:uiPriority w:val="0"/>
    <w:pPr>
      <w:spacing w:beforeAutospacing="1" w:afterAutospacing="1"/>
      <w:jc w:val="left"/>
    </w:pPr>
    <w:rPr>
      <w:rFonts w:cs="Times New Roman"/>
      <w:kern w:val="0"/>
      <w:sz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列表段落1"/>
    <w:next w:val="5"/>
    <w:qFormat/>
    <w:uiPriority w:val="0"/>
    <w:pPr>
      <w:ind w:firstLine="200" w:firstLineChars="200"/>
    </w:pPr>
    <w:rPr>
      <w:rFonts w:ascii="宋体" w:hAnsi="Times New Roman" w:eastAsia="宋体" w:cs="宋体"/>
      <w:sz w:val="24"/>
      <w:szCs w:val="22"/>
      <w:lang w:val="en-US" w:eastAsia="zh-CN" w:bidi="ar-SA"/>
    </w:rPr>
  </w:style>
  <w:style w:type="paragraph" w:customStyle="1" w:styleId="15">
    <w:name w:val="Revision"/>
    <w:hidden/>
    <w:unhideWhenUsed/>
    <w:uiPriority w:val="99"/>
    <w:rPr>
      <w:rFonts w:asciiTheme="minorHAnsi" w:hAnsiTheme="minorHAnsi" w:eastAsiaTheme="minorEastAsia" w:cstheme="minorBidi"/>
      <w:kern w:val="2"/>
      <w:sz w:val="21"/>
      <w:szCs w:val="24"/>
      <w:lang w:val="en-US" w:eastAsia="zh-CN" w:bidi="ar-SA"/>
    </w:rPr>
  </w:style>
  <w:style w:type="character" w:customStyle="1" w:styleId="16">
    <w:name w:val="页脚 字符"/>
    <w:basedOn w:val="13"/>
    <w:link w:val="8"/>
    <w:qFormat/>
    <w:uiPriority w:val="99"/>
    <w:rPr>
      <w:rFonts w:asciiTheme="minorHAnsi" w:hAnsiTheme="minorHAnsi" w:eastAsiaTheme="minorEastAsia" w:cstheme="minorBidi"/>
      <w:kern w:val="2"/>
      <w:sz w:val="18"/>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95A8FC-1FB3-4711-BD18-A9ECE7BC778C}">
  <ds:schemaRefs/>
</ds:datastoreItem>
</file>

<file path=docProps/app.xml><?xml version="1.0" encoding="utf-8"?>
<Properties xmlns="http://schemas.openxmlformats.org/officeDocument/2006/extended-properties" xmlns:vt="http://schemas.openxmlformats.org/officeDocument/2006/docPropsVTypes">
  <Template>Normal.dotm</Template>
  <Pages>20</Pages>
  <Words>1208</Words>
  <Characters>6889</Characters>
  <Lines>57</Lines>
  <Paragraphs>16</Paragraphs>
  <TotalTime>17</TotalTime>
  <ScaleCrop>false</ScaleCrop>
  <LinksUpToDate>false</LinksUpToDate>
  <CharactersWithSpaces>8081</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2022-03-08T09:25:00Z</dcterms:created>
  <dc:creator>何雨秋</dc:creator>
  <cp:lastModifiedBy>Administrator</cp:lastModifiedBy>
  <dcterms:modified xsi:type="dcterms:W3CDTF">2025-04-27T02:10:15Z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56D87DA1EA0E4020BF7ED0D1681C291C</vt:lpwstr>
  </property>
  <property fmtid="{D5CDD505-2E9C-101B-9397-08002B2CF9AE}" pid="4" name="KSOTemplateDocerSaveRecord">
    <vt:lpwstr>eyJoZGlkIjoiNzE5NjdkYzQ1NDM3ODI3ZDJiNzlkOWM4OWNjMmNhZDgifQ==</vt:lpwstr>
  </property>
</Properties>
</file>