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临清沪农商</w:t>
      </w:r>
      <w:bookmarkStart w:id="0" w:name="_GoBack"/>
      <w:bookmarkEnd w:id="0"/>
      <w:r>
        <w:rPr>
          <w:rFonts w:hint="eastAsia" w:asciiTheme="majorEastAsia" w:hAnsiTheme="majorEastAsia" w:eastAsiaTheme="majorEastAsia" w:cstheme="majorEastAsia"/>
          <w:b/>
          <w:bCs/>
          <w:sz w:val="44"/>
          <w:szCs w:val="44"/>
        </w:rPr>
        <w:t>村镇银行202</w:t>
      </w:r>
      <w:r>
        <w:rPr>
          <w:rFonts w:hint="eastAsia" w:asciiTheme="majorEastAsia" w:hAnsiTheme="majorEastAsia" w:eastAsiaTheme="majorEastAsia" w:cstheme="majorEastAsia"/>
          <w:b/>
          <w:bCs/>
          <w:sz w:val="44"/>
          <w:szCs w:val="44"/>
          <w:lang w:val="en-US" w:eastAsia="zh-CN"/>
        </w:rPr>
        <w:t>5</w:t>
      </w:r>
      <w:r>
        <w:rPr>
          <w:rFonts w:hint="eastAsia" w:asciiTheme="majorEastAsia" w:hAnsiTheme="majorEastAsia" w:eastAsiaTheme="majorEastAsia" w:cstheme="majorEastAsia"/>
          <w:b/>
          <w:bCs/>
          <w:sz w:val="44"/>
          <w:szCs w:val="44"/>
        </w:rPr>
        <w:t>年度</w:t>
      </w:r>
    </w:p>
    <w:p>
      <w:pPr>
        <w:spacing w:line="600" w:lineRule="exact"/>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社会责任报告</w:t>
      </w:r>
    </w:p>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目录</w:t>
      </w:r>
    </w:p>
    <w:p>
      <w:pPr>
        <w:numPr>
          <w:ilvl w:val="0"/>
          <w:numId w:val="1"/>
        </w:numPr>
        <w:spacing w:line="600" w:lineRule="exact"/>
        <w:jc w:val="center"/>
        <w:rPr>
          <w:rFonts w:hint="eastAsia" w:ascii="仿宋" w:hAnsi="仿宋" w:eastAsia="仿宋" w:cs="仿宋"/>
          <w:sz w:val="28"/>
          <w:szCs w:val="28"/>
        </w:rPr>
      </w:pPr>
      <w:r>
        <w:rPr>
          <w:rFonts w:hint="eastAsia" w:ascii="仿宋" w:hAnsi="仿宋" w:eastAsia="仿宋" w:cs="仿宋"/>
          <w:sz w:val="28"/>
          <w:szCs w:val="28"/>
        </w:rPr>
        <w:t>社会责任概况</w:t>
      </w:r>
    </w:p>
    <w:p>
      <w:pPr>
        <w:numPr>
          <w:ilvl w:val="0"/>
          <w:numId w:val="1"/>
        </w:numPr>
        <w:spacing w:line="600" w:lineRule="exact"/>
        <w:jc w:val="center"/>
        <w:rPr>
          <w:rFonts w:hint="eastAsia" w:ascii="仿宋" w:hAnsi="仿宋" w:eastAsia="仿宋" w:cs="仿宋"/>
          <w:sz w:val="28"/>
          <w:szCs w:val="28"/>
        </w:rPr>
      </w:pPr>
      <w:r>
        <w:rPr>
          <w:rFonts w:hint="eastAsia" w:ascii="仿宋" w:hAnsi="仿宋" w:eastAsia="仿宋" w:cs="仿宋"/>
          <w:sz w:val="28"/>
          <w:szCs w:val="28"/>
        </w:rPr>
        <w:t>社会责任理念</w:t>
      </w:r>
    </w:p>
    <w:p>
      <w:pPr>
        <w:numPr>
          <w:ilvl w:val="0"/>
          <w:numId w:val="1"/>
        </w:numPr>
        <w:spacing w:line="600" w:lineRule="exact"/>
        <w:jc w:val="center"/>
        <w:rPr>
          <w:rFonts w:hint="eastAsia" w:ascii="仿宋" w:hAnsi="仿宋" w:eastAsia="仿宋" w:cs="仿宋"/>
          <w:sz w:val="28"/>
          <w:szCs w:val="28"/>
        </w:rPr>
      </w:pPr>
      <w:r>
        <w:rPr>
          <w:rFonts w:hint="eastAsia" w:ascii="仿宋" w:hAnsi="仿宋" w:eastAsia="仿宋" w:cs="仿宋"/>
          <w:sz w:val="28"/>
          <w:szCs w:val="28"/>
        </w:rPr>
        <w:t>社会责任管理</w:t>
      </w:r>
    </w:p>
    <w:p>
      <w:pPr>
        <w:numPr>
          <w:ilvl w:val="0"/>
          <w:numId w:val="1"/>
        </w:numPr>
        <w:spacing w:line="600" w:lineRule="exact"/>
        <w:jc w:val="center"/>
        <w:rPr>
          <w:rFonts w:hint="eastAsia" w:ascii="仿宋" w:hAnsi="仿宋" w:eastAsia="仿宋" w:cs="仿宋"/>
          <w:sz w:val="28"/>
          <w:szCs w:val="28"/>
        </w:rPr>
      </w:pPr>
      <w:r>
        <w:rPr>
          <w:rFonts w:hint="eastAsia" w:ascii="仿宋" w:hAnsi="仿宋" w:eastAsia="仿宋" w:cs="仿宋"/>
          <w:sz w:val="28"/>
          <w:szCs w:val="28"/>
        </w:rPr>
        <w:t>社会责任实践</w:t>
      </w:r>
    </w:p>
    <w:p>
      <w:pPr>
        <w:spacing w:line="600" w:lineRule="exact"/>
        <w:ind w:firstLine="2800" w:firstLineChars="1000"/>
        <w:rPr>
          <w:rFonts w:hint="eastAsia" w:ascii="仿宋" w:hAnsi="仿宋" w:eastAsia="仿宋" w:cs="仿宋"/>
          <w:sz w:val="28"/>
          <w:szCs w:val="28"/>
        </w:rPr>
      </w:pPr>
      <w:r>
        <w:rPr>
          <w:rFonts w:hint="eastAsia" w:ascii="仿宋" w:hAnsi="仿宋" w:eastAsia="仿宋" w:cs="仿宋"/>
          <w:sz w:val="28"/>
          <w:szCs w:val="28"/>
        </w:rPr>
        <w:t>第五节 环境信息披露</w:t>
      </w:r>
    </w:p>
    <w:p>
      <w:pPr>
        <w:spacing w:line="600" w:lineRule="exact"/>
        <w:ind w:firstLine="2800" w:firstLineChars="1000"/>
        <w:rPr>
          <w:rFonts w:hint="eastAsia" w:ascii="仿宋" w:hAnsi="仿宋" w:eastAsia="仿宋" w:cs="仿宋"/>
          <w:sz w:val="28"/>
          <w:szCs w:val="28"/>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28"/>
          <w:szCs w:val="28"/>
        </w:rPr>
        <w:t>第六节 责任展望</w:t>
      </w:r>
    </w:p>
    <w:p>
      <w:pPr>
        <w:spacing w:line="600" w:lineRule="exact"/>
        <w:jc w:val="left"/>
        <w:rPr>
          <w:rFonts w:hint="eastAsia" w:ascii="仿宋" w:hAnsi="仿宋" w:eastAsia="仿宋" w:cs="仿宋"/>
          <w:b/>
          <w:bCs/>
          <w:sz w:val="32"/>
          <w:szCs w:val="32"/>
        </w:rPr>
      </w:pPr>
      <w:r>
        <w:rPr>
          <w:rFonts w:hint="eastAsia" w:ascii="仿宋" w:hAnsi="仿宋" w:eastAsia="仿宋" w:cs="仿宋"/>
          <w:b/>
          <w:bCs/>
          <w:sz w:val="32"/>
          <w:szCs w:val="32"/>
        </w:rPr>
        <w:t>第一节社会责任概况</w:t>
      </w:r>
    </w:p>
    <w:p>
      <w:pPr>
        <w:spacing w:line="600" w:lineRule="exact"/>
        <w:jc w:val="left"/>
        <w:rPr>
          <w:rFonts w:hint="eastAsia" w:ascii="仿宋" w:hAnsi="仿宋" w:eastAsia="仿宋" w:cs="仿宋"/>
          <w:b/>
          <w:bCs/>
          <w:sz w:val="28"/>
          <w:szCs w:val="28"/>
        </w:rPr>
      </w:pPr>
      <w:r>
        <w:rPr>
          <w:rFonts w:hint="eastAsia" w:ascii="仿宋" w:hAnsi="仿宋" w:eastAsia="仿宋" w:cs="仿宋"/>
          <w:b/>
          <w:bCs/>
          <w:sz w:val="28"/>
          <w:szCs w:val="28"/>
        </w:rPr>
        <w:t>报告概况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报告时间范围</w:t>
            </w:r>
          </w:p>
        </w:tc>
        <w:tc>
          <w:tcPr>
            <w:tcW w:w="6803"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202</w:t>
            </w:r>
            <w:r>
              <w:rPr>
                <w:rFonts w:hint="eastAsia" w:ascii="仿宋" w:hAnsi="仿宋" w:eastAsia="仿宋" w:cs="仿宋"/>
                <w:sz w:val="24"/>
                <w:lang w:val="en-US" w:eastAsia="zh-CN"/>
              </w:rPr>
              <w:t>5</w:t>
            </w:r>
            <w:r>
              <w:rPr>
                <w:rFonts w:hint="eastAsia" w:ascii="仿宋" w:hAnsi="仿宋" w:eastAsia="仿宋" w:cs="仿宋"/>
                <w:sz w:val="24"/>
              </w:rPr>
              <w:t>年1月1日至202</w:t>
            </w:r>
            <w:r>
              <w:rPr>
                <w:rFonts w:hint="eastAsia" w:ascii="仿宋" w:hAnsi="仿宋" w:eastAsia="仿宋" w:cs="仿宋"/>
                <w:sz w:val="24"/>
                <w:lang w:val="en-US" w:eastAsia="zh-CN"/>
              </w:rPr>
              <w:t>5</w:t>
            </w:r>
            <w:r>
              <w:rPr>
                <w:rFonts w:hint="eastAsia" w:ascii="仿宋" w:hAnsi="仿宋" w:eastAsia="仿宋" w:cs="仿宋"/>
                <w:sz w:val="24"/>
              </w:rPr>
              <w:t>年12月31日，部分表述及数据适当追溯以往年份。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报告发布周期</w:t>
            </w:r>
          </w:p>
        </w:tc>
        <w:tc>
          <w:tcPr>
            <w:tcW w:w="6803"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本报告为年度报告。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报告组织范围</w:t>
            </w:r>
          </w:p>
        </w:tc>
        <w:tc>
          <w:tcPr>
            <w:tcW w:w="6803"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临清沪农商村镇银行，为便于表达，在下述报告中简称为临清村行。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报告数据说明</w:t>
            </w:r>
          </w:p>
        </w:tc>
        <w:tc>
          <w:tcPr>
            <w:tcW w:w="6803"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本报告的数据主要源于临清村行。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报告编制依据</w:t>
            </w:r>
          </w:p>
        </w:tc>
        <w:tc>
          <w:tcPr>
            <w:tcW w:w="6803"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原中国银监会《关于加强银行业金融机构社会责任的意见》</w:t>
            </w:r>
          </w:p>
          <w:p>
            <w:pPr>
              <w:spacing w:line="600" w:lineRule="exact"/>
              <w:jc w:val="left"/>
              <w:rPr>
                <w:rFonts w:hint="eastAsia" w:ascii="仿宋" w:hAnsi="仿宋" w:eastAsia="仿宋" w:cs="仿宋"/>
                <w:sz w:val="24"/>
              </w:rPr>
            </w:pPr>
            <w:r>
              <w:rPr>
                <w:rFonts w:hint="eastAsia" w:ascii="仿宋" w:hAnsi="仿宋" w:eastAsia="仿宋" w:cs="仿宋"/>
                <w:sz w:val="24"/>
              </w:rPr>
              <w:t>中国银行业协会《中国银行业金融机构企业社会责任指引》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报告发布方式</w:t>
            </w:r>
          </w:p>
        </w:tc>
        <w:tc>
          <w:tcPr>
            <w:tcW w:w="6803"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报告以电子版形式发布，电子版查询及下载地址：http://linq.srcbcz.com/linq/index.html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联系方式</w:t>
            </w:r>
          </w:p>
        </w:tc>
        <w:tc>
          <w:tcPr>
            <w:tcW w:w="6803"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部门姓名：办公室付嘉慧</w:t>
            </w:r>
          </w:p>
          <w:p>
            <w:pPr>
              <w:spacing w:line="600" w:lineRule="exact"/>
              <w:jc w:val="left"/>
              <w:rPr>
                <w:rFonts w:hint="eastAsia" w:ascii="仿宋_GB2312" w:hAnsi="宋体" w:eastAsia="仿宋_GB2312"/>
                <w:color w:val="000000"/>
                <w:sz w:val="32"/>
                <w:szCs w:val="32"/>
              </w:rPr>
            </w:pPr>
            <w:r>
              <w:rPr>
                <w:rFonts w:hint="eastAsia" w:ascii="仿宋" w:hAnsi="仿宋" w:eastAsia="仿宋" w:cs="仿宋"/>
                <w:sz w:val="24"/>
              </w:rPr>
              <w:t>地址：山东省临清市古楼新村2988号中央帝景A区12号</w:t>
            </w:r>
          </w:p>
          <w:p>
            <w:pPr>
              <w:spacing w:line="600" w:lineRule="exact"/>
              <w:jc w:val="left"/>
              <w:rPr>
                <w:rFonts w:hint="eastAsia" w:ascii="仿宋" w:hAnsi="仿宋" w:eastAsia="仿宋" w:cs="仿宋"/>
                <w:sz w:val="24"/>
              </w:rPr>
            </w:pPr>
            <w:r>
              <w:rPr>
                <w:rFonts w:hint="eastAsia" w:ascii="仿宋" w:hAnsi="仿宋" w:eastAsia="仿宋" w:cs="仿宋"/>
                <w:sz w:val="24"/>
              </w:rPr>
              <w:t>电话：0635-2976707</w:t>
            </w:r>
          </w:p>
        </w:tc>
      </w:tr>
    </w:tbl>
    <w:p>
      <w:pPr>
        <w:spacing w:line="600" w:lineRule="exact"/>
        <w:jc w:val="left"/>
        <w:rPr>
          <w:rFonts w:hint="eastAsia" w:ascii="仿宋" w:hAnsi="仿宋" w:eastAsia="仿宋" w:cs="仿宋"/>
          <w:b/>
          <w:bCs/>
          <w:sz w:val="28"/>
          <w:szCs w:val="28"/>
        </w:rPr>
      </w:pPr>
      <w:r>
        <w:rPr>
          <w:rFonts w:hint="eastAsia" w:ascii="仿宋" w:hAnsi="仿宋" w:eastAsia="仿宋" w:cs="仿宋"/>
          <w:b/>
          <w:bCs/>
          <w:sz w:val="28"/>
          <w:szCs w:val="28"/>
        </w:rPr>
        <w:t>公司简介</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沪农商村镇银行股份有限公司，是经国家金融监督管理总局（原中国银行保险监督管理委员会）批准，由上海农村商业银行股份有限公司（总部设在上海的A股上市银行，股票代码601825）发起设立，是国资控股的新型农村金融机构。</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一、法定名称：临清沪农商村镇银行股份有限公司</w:t>
      </w:r>
    </w:p>
    <w:p>
      <w:pPr>
        <w:spacing w:line="600" w:lineRule="exact"/>
        <w:ind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中文简称：临清沪农商村镇银行</w:t>
      </w:r>
    </w:p>
    <w:p>
      <w:pPr>
        <w:spacing w:line="600" w:lineRule="exact"/>
        <w:ind w:firstLine="1280" w:firstLineChars="400"/>
        <w:jc w:val="left"/>
        <w:rPr>
          <w:rFonts w:hint="eastAsia" w:ascii="仿宋_GB2312" w:hAnsi="仿宋_GB2312" w:eastAsia="仿宋_GB2312" w:cs="仿宋_GB2312"/>
          <w:sz w:val="32"/>
          <w:szCs w:val="32"/>
        </w:rPr>
      </w:pPr>
      <w:r>
        <w:rPr>
          <w:rFonts w:hint="eastAsia" w:ascii="仿宋_GB2312" w:hAnsi="宋体" w:eastAsia="仿宋_GB2312" w:cs="Times New Roman"/>
          <w:color w:val="000000"/>
          <w:sz w:val="32"/>
          <w:szCs w:val="32"/>
        </w:rPr>
        <w:t>英文名称：</w:t>
      </w:r>
      <w:r>
        <w:rPr>
          <w:rFonts w:hint="eastAsia" w:ascii="仿宋_GB2312" w:hAnsi="宋体" w:eastAsia="仿宋_GB2312" w:cs="Times New Roman"/>
          <w:color w:val="auto"/>
          <w:sz w:val="32"/>
          <w:szCs w:val="32"/>
          <w:lang w:val="en-US" w:eastAsia="zh-CN"/>
        </w:rPr>
        <w:t xml:space="preserve">LINQING </w:t>
      </w:r>
      <w:r>
        <w:rPr>
          <w:rFonts w:hint="eastAsia" w:ascii="仿宋_GB2312" w:hAnsi="宋体" w:eastAsia="仿宋_GB2312" w:cs="Times New Roman"/>
          <w:i w:val="0"/>
          <w:caps w:val="0"/>
          <w:color w:val="auto"/>
          <w:spacing w:val="0"/>
          <w:sz w:val="32"/>
          <w:szCs w:val="32"/>
        </w:rPr>
        <w:t>SHRCB RURAL BANK</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二、法定代表人：杨红光</w:t>
      </w:r>
    </w:p>
    <w:p>
      <w:pPr>
        <w:spacing w:line="600" w:lineRule="exact"/>
        <w:ind w:firstLine="640" w:firstLineChars="200"/>
        <w:jc w:val="left"/>
        <w:rPr>
          <w:rFonts w:hint="eastAsia" w:ascii="仿宋_GB2312" w:hAnsi="宋体" w:eastAsia="仿宋_GB2312"/>
          <w:color w:val="000000"/>
          <w:sz w:val="32"/>
          <w:szCs w:val="32"/>
        </w:rPr>
      </w:pPr>
      <w:r>
        <w:rPr>
          <w:rFonts w:hint="eastAsia" w:ascii="仿宋_GB2312" w:hAnsi="仿宋_GB2312" w:eastAsia="仿宋_GB2312" w:cs="仿宋_GB2312"/>
          <w:sz w:val="32"/>
          <w:szCs w:val="32"/>
        </w:rPr>
        <w:t>三、注册资本：</w:t>
      </w:r>
      <w:r>
        <w:rPr>
          <w:rFonts w:hint="eastAsia" w:ascii="仿宋_GB2312" w:hAnsi="宋体" w:eastAsia="仿宋_GB2312"/>
          <w:color w:val="000000"/>
          <w:sz w:val="32"/>
          <w:szCs w:val="32"/>
        </w:rPr>
        <w:t>人民币15000万元</w:t>
      </w:r>
    </w:p>
    <w:p>
      <w:pPr>
        <w:spacing w:line="600" w:lineRule="exact"/>
        <w:ind w:firstLine="640" w:firstLineChars="200"/>
        <w:jc w:val="left"/>
        <w:rPr>
          <w:rFonts w:hint="eastAsia" w:ascii="仿宋_GB2312" w:hAnsi="宋体" w:eastAsia="仿宋_GB2312"/>
          <w:color w:val="000000"/>
          <w:sz w:val="32"/>
          <w:szCs w:val="32"/>
        </w:rPr>
      </w:pPr>
      <w:r>
        <w:rPr>
          <w:rFonts w:hint="eastAsia" w:ascii="仿宋_GB2312" w:hAnsi="仿宋_GB2312" w:eastAsia="仿宋_GB2312" w:cs="仿宋_GB2312"/>
          <w:sz w:val="32"/>
          <w:szCs w:val="32"/>
        </w:rPr>
        <w:t>四、注册地址及办公地址：山东省临清市古楼新村2988号中央帝景A区12号</w:t>
      </w:r>
    </w:p>
    <w:p>
      <w:pPr>
        <w:spacing w:line="600" w:lineRule="exact"/>
        <w:ind w:firstLine="640" w:firstLineChars="200"/>
        <w:jc w:val="left"/>
        <w:rPr>
          <w:rFonts w:hint="eastAsia" w:ascii="仿宋_GB2312" w:hAnsi="宋体" w:eastAsia="仿宋_GB2312"/>
          <w:color w:val="000000"/>
          <w:sz w:val="32"/>
          <w:szCs w:val="32"/>
        </w:rPr>
      </w:pPr>
      <w:r>
        <w:rPr>
          <w:rFonts w:hint="eastAsia" w:ascii="仿宋_GB2312" w:hAnsi="宋体" w:eastAsia="仿宋_GB2312"/>
          <w:color w:val="000000"/>
          <w:sz w:val="32"/>
          <w:szCs w:val="32"/>
        </w:rPr>
        <w:t>五、成立时间：2012年6月1日</w:t>
      </w:r>
    </w:p>
    <w:p>
      <w:pPr>
        <w:spacing w:line="600" w:lineRule="exact"/>
        <w:ind w:firstLine="640" w:firstLineChars="200"/>
        <w:jc w:val="left"/>
        <w:rPr>
          <w:rFonts w:hint="eastAsia" w:ascii="仿宋_GB2312" w:hAnsi="宋体" w:eastAsia="仿宋_GB2312"/>
          <w:color w:val="000000"/>
          <w:sz w:val="32"/>
          <w:szCs w:val="32"/>
        </w:rPr>
      </w:pPr>
      <w:r>
        <w:rPr>
          <w:rFonts w:hint="eastAsia" w:ascii="仿宋_GB2312" w:hAnsi="宋体" w:eastAsia="仿宋_GB2312"/>
          <w:color w:val="000000"/>
          <w:sz w:val="32"/>
          <w:szCs w:val="32"/>
        </w:rPr>
        <w:t>六、经营范围：</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（一）吸收公众存款；</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（二）发放短期、中期和长期贷款；</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（三）办理国内结算；</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（四）办理票据承兑与贴现；</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（五）从事同业拆借；</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（六）从事银行卡业务；</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（七）代理发行、兑付、承销政府债券；</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（八）代理收付款项及代理保险业务；</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（九）经银行保险监督管理机构批准的其他业务。</w:t>
      </w:r>
    </w:p>
    <w:p>
      <w:pPr>
        <w:pStyle w:val="10"/>
        <w:spacing w:beforeAutospacing="0" w:afterAutospacing="0" w:line="600" w:lineRule="exact"/>
        <w:rPr>
          <w:rFonts w:hint="eastAsia" w:ascii="仿宋_GB2312" w:hAnsi="宋体" w:eastAsia="仿宋_GB2312"/>
          <w:color w:val="000000"/>
          <w:sz w:val="32"/>
          <w:szCs w:val="32"/>
        </w:rPr>
      </w:pPr>
      <w:r>
        <w:rPr>
          <w:rFonts w:hint="eastAsia" w:ascii="仿宋_GB2312" w:hAnsi="宋体" w:eastAsia="仿宋_GB2312"/>
          <w:color w:val="000000"/>
          <w:sz w:val="32"/>
          <w:szCs w:val="32"/>
        </w:rPr>
        <w:t>（以国家金融监督管理总局原中国银行保险监督管理委员会批准的经营范围为准）</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七、客服热线：4009962999</w:t>
      </w:r>
    </w:p>
    <w:p>
      <w:pPr>
        <w:pStyle w:val="10"/>
        <w:spacing w:beforeAutospacing="0" w:afterAutospacing="0" w:line="600" w:lineRule="exact"/>
        <w:ind w:left="4798" w:leftChars="304" w:hanging="4160" w:hangingChars="1300"/>
        <w:rPr>
          <w:rFonts w:hint="eastAsia" w:ascii="仿宋_GB2312" w:hAnsi="宋体" w:eastAsia="仿宋_GB2312"/>
          <w:color w:val="000000"/>
          <w:sz w:val="32"/>
          <w:szCs w:val="32"/>
        </w:rPr>
      </w:pPr>
      <w:r>
        <w:rPr>
          <w:rFonts w:hint="eastAsia" w:ascii="仿宋_GB2312" w:hAnsi="宋体" w:eastAsia="仿宋_GB2312"/>
          <w:color w:val="000000"/>
          <w:sz w:val="32"/>
          <w:szCs w:val="32"/>
        </w:rPr>
        <w:t>八、联系电话：总行 0635-2976706</w:t>
      </w:r>
    </w:p>
    <w:p>
      <w:pPr>
        <w:pStyle w:val="10"/>
        <w:spacing w:beforeAutospacing="0" w:afterAutospacing="0" w:line="600" w:lineRule="exact"/>
        <w:ind w:firstLine="3520" w:firstLineChars="1100"/>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0635-2976707</w:t>
      </w:r>
    </w:p>
    <w:p>
      <w:pPr>
        <w:pStyle w:val="10"/>
        <w:spacing w:beforeAutospacing="0" w:afterAutospacing="0" w:line="600" w:lineRule="exact"/>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新华支行0635-2976721</w:t>
      </w:r>
    </w:p>
    <w:p>
      <w:pPr>
        <w:pStyle w:val="10"/>
        <w:spacing w:beforeAutospacing="0" w:afterAutospacing="0" w:line="600" w:lineRule="exact"/>
        <w:rPr>
          <w:rFonts w:hint="eastAsia" w:ascii="仿宋" w:hAnsi="仿宋" w:eastAsia="仿宋" w:cs="仿宋"/>
          <w:b/>
          <w:bCs/>
          <w:sz w:val="28"/>
          <w:szCs w:val="28"/>
          <w:highlight w:val="none"/>
        </w:rPr>
      </w:pPr>
      <w:r>
        <w:rPr>
          <w:rFonts w:hint="eastAsia" w:ascii="仿宋_GB2312" w:hAnsi="宋体" w:eastAsia="仿宋_GB2312"/>
          <w:color w:val="000000"/>
          <w:sz w:val="32"/>
          <w:szCs w:val="32"/>
          <w:highlight w:val="none"/>
        </w:rPr>
        <w:t xml:space="preserve">               烟店支行0635-2976006</w:t>
      </w:r>
    </w:p>
    <w:p>
      <w:pPr>
        <w:spacing w:line="600" w:lineRule="exact"/>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社会责任关键绩效</w:t>
      </w:r>
    </w:p>
    <w:tbl>
      <w:tblPr>
        <w:tblStyle w:val="12"/>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134"/>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指标</w:t>
            </w:r>
          </w:p>
        </w:tc>
        <w:tc>
          <w:tcPr>
            <w:tcW w:w="1134"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单位</w:t>
            </w:r>
          </w:p>
        </w:tc>
        <w:tc>
          <w:tcPr>
            <w:tcW w:w="1701"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202</w:t>
            </w:r>
            <w:r>
              <w:rPr>
                <w:rFonts w:hint="eastAsia" w:ascii="仿宋" w:hAnsi="仿宋" w:eastAsia="仿宋" w:cs="仿宋"/>
                <w:b/>
                <w:bCs/>
                <w:sz w:val="28"/>
                <w:szCs w:val="28"/>
                <w:highlight w:val="none"/>
                <w:lang w:val="en-US" w:eastAsia="zh-CN"/>
              </w:rPr>
              <w:t>5</w:t>
            </w:r>
            <w:r>
              <w:rPr>
                <w:rFonts w:hint="eastAsia" w:ascii="仿宋" w:hAnsi="仿宋" w:eastAsia="仿宋" w:cs="仿宋"/>
                <w:b/>
                <w:bCs/>
                <w:sz w:val="28"/>
                <w:szCs w:val="28"/>
                <w:highlight w:val="none"/>
              </w:rPr>
              <w:t>年</w:t>
            </w:r>
          </w:p>
        </w:tc>
        <w:tc>
          <w:tcPr>
            <w:tcW w:w="1701"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202</w:t>
            </w:r>
            <w:r>
              <w:rPr>
                <w:rFonts w:hint="eastAsia" w:ascii="仿宋" w:hAnsi="仿宋" w:eastAsia="仿宋" w:cs="仿宋"/>
                <w:b/>
                <w:bCs/>
                <w:sz w:val="28"/>
                <w:szCs w:val="28"/>
                <w:highlight w:val="none"/>
                <w:lang w:val="en-US" w:eastAsia="zh-CN"/>
              </w:rPr>
              <w:t>4</w:t>
            </w:r>
            <w:r>
              <w:rPr>
                <w:rFonts w:hint="eastAsia" w:ascii="仿宋" w:hAnsi="仿宋" w:eastAsia="仿宋" w:cs="仿宋"/>
                <w:b/>
                <w:bCs/>
                <w:sz w:val="28"/>
                <w:szCs w:val="28"/>
                <w:highlight w:val="none"/>
              </w:rPr>
              <w:t>年</w:t>
            </w:r>
          </w:p>
        </w:tc>
        <w:tc>
          <w:tcPr>
            <w:tcW w:w="1701"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202</w:t>
            </w: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b/>
                <w:bCs/>
                <w:sz w:val="28"/>
                <w:szCs w:val="28"/>
                <w:highlight w:val="none"/>
              </w:rPr>
              <w:t>经济责任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资产总额</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170296.46</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196242.03</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219374.18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存款余额</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153444.89</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177701.13</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201680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贷款余额</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102916.41</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100575.42</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96385.23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营业收入</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6660.95</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8326.14</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8622.74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员工薪酬</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247.67</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1109.70</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985.37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利息支出</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3283.70</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4735.88</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5566.52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纳税总额</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07.58</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132.65</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117.44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净利润</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415.68</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1369.02</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200.16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资产收益率</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0.7</w:t>
            </w:r>
            <w:r>
              <w:rPr>
                <w:rFonts w:hint="eastAsia" w:ascii="仿宋" w:hAnsi="仿宋" w:eastAsia="仿宋" w:cs="仿宋"/>
                <w:sz w:val="24"/>
                <w:highlight w:val="none"/>
                <w:lang w:val="en-US" w:eastAsia="zh-CN"/>
              </w:rPr>
              <w:t>7</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0.7</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净资产收益率</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2.87</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13.3</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核心资产充足率</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14.29</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12.75</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资本充足率</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1" w:type="dxa"/>
            <w:vAlign w:val="center"/>
          </w:tcPr>
          <w:p>
            <w:pPr>
              <w:spacing w:line="6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rPr>
              <w:t>17.</w:t>
            </w:r>
            <w:r>
              <w:rPr>
                <w:rFonts w:hint="eastAsia" w:ascii="仿宋" w:hAnsi="仿宋" w:eastAsia="仿宋" w:cs="仿宋"/>
                <w:sz w:val="24"/>
                <w:highlight w:val="none"/>
                <w:lang w:val="en-US" w:eastAsia="zh-CN"/>
              </w:rPr>
              <w:t>94</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17.02</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不良贷款率</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1" w:type="dxa"/>
            <w:vAlign w:val="center"/>
          </w:tcPr>
          <w:p>
            <w:pPr>
              <w:spacing w:line="6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0.94</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1.07</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拨备覆盖率</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1" w:type="dxa"/>
            <w:vAlign w:val="center"/>
          </w:tcPr>
          <w:p>
            <w:pPr>
              <w:spacing w:line="6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405.61</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416.53</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337.47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涉农贷款余额</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97710.35</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91530.93</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84950.16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小微企业贷款余额</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73548.14</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64992.46</w:t>
            </w:r>
          </w:p>
        </w:tc>
        <w:tc>
          <w:tcPr>
            <w:tcW w:w="1701" w:type="dxa"/>
            <w:vAlign w:val="center"/>
          </w:tcPr>
          <w:p>
            <w:pPr>
              <w:spacing w:line="600" w:lineRule="exact"/>
              <w:jc w:val="center"/>
              <w:rPr>
                <w:rFonts w:hint="eastAsia" w:ascii="仿宋" w:hAnsi="仿宋" w:eastAsia="仿宋" w:cs="仿宋"/>
                <w:sz w:val="24"/>
                <w:highlight w:val="none"/>
              </w:rPr>
            </w:pPr>
            <w:r>
              <w:rPr>
                <w:rFonts w:ascii="仿宋" w:hAnsi="仿宋" w:eastAsia="仿宋" w:cs="仿宋"/>
                <w:sz w:val="24"/>
                <w:highlight w:val="none"/>
              </w:rPr>
              <w:t>55321.65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b/>
                <w:bCs/>
                <w:sz w:val="28"/>
                <w:szCs w:val="28"/>
                <w:highlight w:val="none"/>
              </w:rPr>
              <w:t>社会责任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公益捐赠</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0</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0</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tabs>
                <w:tab w:val="left" w:pos="1890"/>
              </w:tabs>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消费者权益保护费支出</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员工总数</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人</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lang w:val="en-US" w:eastAsia="zh-CN"/>
              </w:rPr>
              <w:t>7</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68</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女性员工占比</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52.24</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51.47</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员工流失率</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1.47</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5.56</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b/>
                <w:bCs/>
                <w:sz w:val="28"/>
                <w:szCs w:val="28"/>
                <w:highlight w:val="none"/>
              </w:rPr>
              <w:t>环境责任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人均办公耗电</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度</w:t>
            </w:r>
          </w:p>
        </w:tc>
        <w:tc>
          <w:tcPr>
            <w:tcW w:w="1701" w:type="dxa"/>
            <w:vAlign w:val="center"/>
          </w:tcPr>
          <w:p>
            <w:pPr>
              <w:spacing w:line="600" w:lineRule="exact"/>
              <w:jc w:val="center"/>
              <w:rPr>
                <w:rFonts w:hint="default" w:ascii="仿宋" w:hAnsi="仿宋" w:eastAsia="仿宋" w:cs="仿宋"/>
                <w:sz w:val="24"/>
                <w:highlight w:val="none"/>
              </w:rPr>
            </w:pPr>
            <w:r>
              <w:rPr>
                <w:rFonts w:hint="eastAsia" w:ascii="仿宋" w:hAnsi="仿宋" w:eastAsia="仿宋" w:cs="仿宋"/>
                <w:sz w:val="24"/>
                <w:highlight w:val="none"/>
                <w:lang w:eastAsia="zh-CN"/>
              </w:rPr>
              <w:t>4</w:t>
            </w:r>
            <w:r>
              <w:rPr>
                <w:rFonts w:hint="eastAsia" w:ascii="仿宋" w:hAnsi="仿宋" w:eastAsia="仿宋" w:cs="仿宋"/>
                <w:sz w:val="24"/>
                <w:highlight w:val="none"/>
                <w:lang w:val="en-US" w:eastAsia="zh-CN"/>
              </w:rPr>
              <w:t>674</w:t>
            </w:r>
          </w:p>
        </w:tc>
        <w:tc>
          <w:tcPr>
            <w:tcW w:w="1701" w:type="dxa"/>
            <w:vAlign w:val="center"/>
          </w:tcPr>
          <w:p>
            <w:pPr>
              <w:spacing w:line="600" w:lineRule="exact"/>
              <w:jc w:val="center"/>
              <w:rPr>
                <w:rFonts w:hint="default"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eastAsia="zh-CN"/>
              </w:rPr>
              <w:t>4</w:t>
            </w:r>
            <w:r>
              <w:rPr>
                <w:rFonts w:hint="eastAsia" w:ascii="仿宋" w:hAnsi="仿宋" w:eastAsia="仿宋" w:cs="仿宋"/>
                <w:sz w:val="24"/>
                <w:highlight w:val="none"/>
                <w:lang w:val="en-US" w:eastAsia="zh-CN"/>
              </w:rPr>
              <w:t>00</w:t>
            </w:r>
          </w:p>
        </w:tc>
        <w:tc>
          <w:tcPr>
            <w:tcW w:w="1701" w:type="dxa"/>
            <w:vAlign w:val="center"/>
          </w:tcPr>
          <w:p>
            <w:pPr>
              <w:spacing w:line="600" w:lineRule="exact"/>
              <w:jc w:val="center"/>
              <w:rPr>
                <w:rFonts w:hint="default" w:ascii="仿宋" w:hAnsi="仿宋" w:eastAsia="仿宋" w:cs="仿宋"/>
                <w:sz w:val="24"/>
                <w:highlight w:val="none"/>
              </w:rPr>
            </w:pPr>
            <w:r>
              <w:rPr>
                <w:rFonts w:hint="eastAsia" w:ascii="仿宋" w:hAnsi="仿宋" w:eastAsia="仿宋" w:cs="仿宋"/>
                <w:sz w:val="24"/>
                <w:highlight w:val="none"/>
              </w:rPr>
              <w:t>48</w:t>
            </w:r>
            <w:r>
              <w:rPr>
                <w:rFonts w:hint="eastAsia" w:ascii="仿宋" w:hAnsi="仿宋" w:eastAsia="仿宋" w:cs="仿宋"/>
                <w:sz w:val="24"/>
                <w:highlight w:val="none"/>
                <w:lang w:eastAsia="zh-CN"/>
              </w:rPr>
              <w:t>0</w:t>
            </w:r>
            <w:r>
              <w:rPr>
                <w:rFonts w:hint="eastAsia" w:ascii="仿宋" w:hAnsi="仿宋" w:eastAsia="仿宋" w:cs="仿宋"/>
                <w:sz w:val="24"/>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人均办公耗水</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吨</w:t>
            </w:r>
          </w:p>
        </w:tc>
        <w:tc>
          <w:tcPr>
            <w:tcW w:w="1701" w:type="dxa"/>
            <w:vAlign w:val="center"/>
          </w:tcPr>
          <w:p>
            <w:pPr>
              <w:spacing w:line="600" w:lineRule="exact"/>
              <w:jc w:val="center"/>
              <w:rPr>
                <w:rFonts w:hint="default" w:ascii="仿宋" w:hAnsi="仿宋" w:eastAsia="仿宋" w:cs="仿宋"/>
                <w:sz w:val="24"/>
                <w:highlight w:val="none"/>
              </w:rPr>
            </w:pPr>
            <w:r>
              <w:rPr>
                <w:rFonts w:hint="default" w:ascii="仿宋" w:hAnsi="仿宋" w:eastAsia="仿宋" w:cs="仿宋"/>
                <w:sz w:val="24"/>
                <w:highlight w:val="none"/>
                <w:lang w:val="en-US" w:eastAsia="zh-CN"/>
              </w:rPr>
              <w:t>11</w:t>
            </w:r>
          </w:p>
        </w:tc>
        <w:tc>
          <w:tcPr>
            <w:tcW w:w="1701" w:type="dxa"/>
            <w:vAlign w:val="center"/>
          </w:tcPr>
          <w:p>
            <w:pPr>
              <w:spacing w:line="600" w:lineRule="exact"/>
              <w:jc w:val="center"/>
              <w:rPr>
                <w:rFonts w:hint="default" w:ascii="仿宋" w:hAnsi="仿宋" w:eastAsia="仿宋" w:cs="仿宋"/>
                <w:sz w:val="24"/>
                <w:highlight w:val="none"/>
              </w:rPr>
            </w:pPr>
            <w:r>
              <w:rPr>
                <w:rFonts w:hint="eastAsia" w:ascii="仿宋" w:hAnsi="仿宋" w:eastAsia="仿宋" w:cs="仿宋"/>
                <w:sz w:val="24"/>
                <w:highlight w:val="none"/>
                <w:lang w:eastAsia="zh-CN"/>
              </w:rPr>
              <w:t>1</w:t>
            </w:r>
            <w:r>
              <w:rPr>
                <w:rFonts w:hint="eastAsia" w:ascii="仿宋" w:hAnsi="仿宋" w:eastAsia="仿宋" w:cs="仿宋"/>
                <w:sz w:val="24"/>
                <w:highlight w:val="none"/>
                <w:lang w:val="en-US" w:eastAsia="zh-CN"/>
              </w:rPr>
              <w:t>0</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人均办公用纸</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万张</w:t>
            </w:r>
          </w:p>
        </w:tc>
        <w:tc>
          <w:tcPr>
            <w:tcW w:w="1701" w:type="dxa"/>
            <w:vAlign w:val="center"/>
          </w:tcPr>
          <w:p>
            <w:pPr>
              <w:spacing w:line="600" w:lineRule="exact"/>
              <w:jc w:val="center"/>
              <w:rPr>
                <w:rFonts w:hint="default" w:ascii="仿宋" w:hAnsi="仿宋" w:eastAsia="仿宋" w:cs="仿宋"/>
                <w:sz w:val="24"/>
                <w:highlight w:val="none"/>
              </w:rPr>
            </w:pPr>
            <w:r>
              <w:rPr>
                <w:rFonts w:hint="eastAsia" w:ascii="仿宋" w:hAnsi="仿宋" w:eastAsia="仿宋" w:cs="仿宋"/>
                <w:sz w:val="24"/>
                <w:highlight w:val="none"/>
                <w:lang w:eastAsia="zh-CN"/>
              </w:rPr>
              <w:t>0</w:t>
            </w:r>
            <w:r>
              <w:rPr>
                <w:rFonts w:hint="eastAsia" w:ascii="仿宋" w:hAnsi="仿宋" w:eastAsia="仿宋" w:cs="仿宋"/>
                <w:sz w:val="24"/>
                <w:highlight w:val="none"/>
                <w:lang w:val="en-US" w:eastAsia="zh-CN"/>
              </w:rPr>
              <w:t>.48</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0.4</w:t>
            </w:r>
            <w:r>
              <w:rPr>
                <w:rFonts w:hint="eastAsia" w:ascii="仿宋" w:hAnsi="仿宋" w:eastAsia="仿宋" w:cs="仿宋"/>
                <w:sz w:val="24"/>
                <w:highlight w:val="none"/>
                <w:lang w:eastAsia="zh-CN"/>
              </w:rPr>
              <w:t>1</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0.4</w:t>
            </w:r>
            <w:r>
              <w:rPr>
                <w:rFonts w:hint="eastAsia" w:ascii="仿宋" w:hAnsi="仿宋" w:eastAsia="仿宋" w:cs="仿宋"/>
                <w:sz w:val="24"/>
                <w:highlight w:val="none"/>
                <w:lang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人均公务车油耗</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升</w:t>
            </w:r>
          </w:p>
        </w:tc>
        <w:tc>
          <w:tcPr>
            <w:tcW w:w="1701" w:type="dxa"/>
            <w:vAlign w:val="center"/>
          </w:tcPr>
          <w:p>
            <w:pPr>
              <w:spacing w:line="600" w:lineRule="exact"/>
              <w:jc w:val="center"/>
              <w:rPr>
                <w:rFonts w:hint="default" w:ascii="仿宋" w:hAnsi="仿宋" w:eastAsia="仿宋" w:cs="仿宋"/>
                <w:sz w:val="24"/>
                <w:highlight w:val="none"/>
              </w:rPr>
            </w:pPr>
            <w:r>
              <w:rPr>
                <w:rFonts w:hint="eastAsia" w:ascii="仿宋" w:hAnsi="仿宋" w:eastAsia="仿宋" w:cs="仿宋"/>
                <w:sz w:val="24"/>
                <w:highlight w:val="none"/>
                <w:lang w:eastAsia="zh-CN"/>
              </w:rPr>
              <w:t>1</w:t>
            </w:r>
            <w:r>
              <w:rPr>
                <w:rFonts w:hint="eastAsia" w:ascii="仿宋" w:hAnsi="仿宋" w:eastAsia="仿宋" w:cs="仿宋"/>
                <w:sz w:val="24"/>
                <w:highlight w:val="none"/>
                <w:lang w:val="en-US" w:eastAsia="zh-CN"/>
              </w:rPr>
              <w:t>50</w:t>
            </w:r>
          </w:p>
        </w:tc>
        <w:tc>
          <w:tcPr>
            <w:tcW w:w="1701" w:type="dxa"/>
            <w:vAlign w:val="center"/>
          </w:tcPr>
          <w:p>
            <w:pPr>
              <w:spacing w:line="600" w:lineRule="exact"/>
              <w:jc w:val="center"/>
              <w:rPr>
                <w:rFonts w:hint="default" w:ascii="仿宋" w:hAnsi="仿宋" w:eastAsia="仿宋" w:cs="仿宋"/>
                <w:sz w:val="24"/>
                <w:highlight w:val="none"/>
              </w:rPr>
            </w:pPr>
            <w:r>
              <w:rPr>
                <w:rFonts w:hint="eastAsia" w:ascii="仿宋" w:hAnsi="仿宋" w:eastAsia="仿宋" w:cs="仿宋"/>
                <w:sz w:val="24"/>
                <w:highlight w:val="none"/>
                <w:lang w:eastAsia="zh-CN"/>
              </w:rPr>
              <w:t>1</w:t>
            </w:r>
            <w:r>
              <w:rPr>
                <w:rFonts w:hint="eastAsia" w:ascii="仿宋" w:hAnsi="仿宋" w:eastAsia="仿宋" w:cs="仿宋"/>
                <w:sz w:val="24"/>
                <w:highlight w:val="none"/>
                <w:lang w:val="en-US" w:eastAsia="zh-CN"/>
              </w:rPr>
              <w:t>47</w:t>
            </w:r>
          </w:p>
        </w:tc>
        <w:tc>
          <w:tcPr>
            <w:tcW w:w="1701" w:type="dxa"/>
            <w:vAlign w:val="center"/>
          </w:tcPr>
          <w:p>
            <w:pPr>
              <w:spacing w:line="600" w:lineRule="exact"/>
              <w:jc w:val="center"/>
              <w:rPr>
                <w:rFonts w:hint="default" w:ascii="仿宋" w:hAnsi="仿宋" w:eastAsia="仿宋" w:cs="仿宋"/>
                <w:sz w:val="24"/>
                <w:highlight w:val="none"/>
              </w:rPr>
            </w:pPr>
            <w:r>
              <w:rPr>
                <w:rFonts w:hint="eastAsia" w:ascii="仿宋" w:hAnsi="仿宋" w:eastAsia="仿宋" w:cs="仿宋"/>
                <w:sz w:val="24"/>
                <w:highlight w:val="none"/>
                <w:lang w:eastAsia="zh-CN"/>
              </w:rPr>
              <w:t>1</w:t>
            </w:r>
            <w:r>
              <w:rPr>
                <w:rFonts w:hint="eastAsia" w:ascii="仿宋" w:hAnsi="仿宋" w:eastAsia="仿宋" w:cs="仿宋"/>
                <w:sz w:val="24"/>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视频会议覆盖率</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1" w:type="dxa"/>
            <w:vAlign w:val="center"/>
          </w:tcPr>
          <w:p>
            <w:pPr>
              <w:spacing w:line="600" w:lineRule="exact"/>
              <w:jc w:val="center"/>
              <w:rPr>
                <w:rFonts w:hint="default" w:ascii="仿宋" w:hAnsi="仿宋" w:eastAsia="仿宋" w:cs="仿宋"/>
                <w:sz w:val="24"/>
                <w:highlight w:val="none"/>
              </w:rPr>
            </w:pPr>
            <w:r>
              <w:rPr>
                <w:rFonts w:hint="eastAsia" w:ascii="仿宋" w:hAnsi="仿宋" w:eastAsia="仿宋" w:cs="仿宋"/>
                <w:sz w:val="24"/>
                <w:highlight w:val="none"/>
                <w:lang w:eastAsia="zh-CN"/>
              </w:rPr>
              <w:t>9</w:t>
            </w:r>
            <w:r>
              <w:rPr>
                <w:rFonts w:hint="eastAsia" w:ascii="仿宋" w:hAnsi="仿宋" w:eastAsia="仿宋" w:cs="仿宋"/>
                <w:sz w:val="24"/>
                <w:highlight w:val="none"/>
                <w:lang w:val="en-US" w:eastAsia="zh-CN"/>
              </w:rPr>
              <w:t>0</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eastAsia="zh-CN"/>
              </w:rPr>
              <w:t>8</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eastAsia="zh-CN"/>
              </w:rPr>
              <w:t>4</w:t>
            </w:r>
          </w:p>
        </w:tc>
      </w:tr>
    </w:tbl>
    <w:p>
      <w:pPr>
        <w:spacing w:line="600" w:lineRule="exac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第二节社会责任理念</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社会责任核心理念与目标</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致力于培育优良的社会责任观，践行“诚信、责任、创新、共赢”的核心价值观，坚持“打造深耕县域、服务三农、专注专业、高效便捷、特色经营的‘小而美’小微银行的愿景，遵循普惠金融助力百姓美好生活”的企业使命，将企业社会责任融入经营管理实践，建设有效的利益相关方参与机制，主动承担经济、社会、环境责任，促进自身利益和利益相关方共同可持续发展。充分发挥金融优势，坚持绿色发展理念，积极践行经济、社会和环境三方面的责任。聚焦高质量发展目标，助推战略新兴产业，支持实体经济发展；发挥“三农”、小微和社区金融服务优势，践行普惠金融责任；以客户为中心，提升服务质量，保障金融消费者权益；关爱员工发展，积极投身公益慈善，用金融赋能社会治理；大力推进绿色金融，拓宽绿色服务渠道，推进生态环境保护建设，最大限度增进对社会和环境的积极影响。</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社会责任领域</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赋能员工发展：以人为本，保障员工权益，关爱员工身心健康，提高员工的归属感，注重员工职业规划和职业能力培养。</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注客户体验：积极推进金融知识教育宣传活动，常态化走进社区、园区、校区等，面向金融消费者持续开展形式多样、丰富多彩的教育宣传活动、知识普及等活动，提高消费者风险意识和风险识别能力，优化提升客户体验。</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恪守诚信经营：依法合规、稳健经营，加强行业自律，重视员工职业道德教育，切实维护金融消费者权益，展现公平诚信的社会形象。</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临清村行开展了“轴承经销商现场授信”活动，工作人员与参展的轴承经销商进行了充分的沟通交流，向客户推荐了村行现阶段推出的</w:t>
      </w:r>
      <w:r>
        <w:rPr>
          <w:rFonts w:hint="eastAsia" w:ascii="仿宋_GB2312" w:hAnsi="仿宋_GB2312" w:eastAsia="仿宋_GB2312" w:cs="仿宋_GB2312"/>
          <w:sz w:val="32"/>
          <w:szCs w:val="32"/>
          <w:lang w:val="en-US" w:eastAsia="zh-CN" w:bidi="ar-SA"/>
        </w:rPr>
        <w:t>“惠民贷”、“惠兴贷”等信贷产品</w:t>
      </w:r>
      <w:r>
        <w:rPr>
          <w:rFonts w:hint="eastAsia" w:ascii="仿宋_GB2312" w:hAnsi="仿宋_GB2312" w:eastAsia="仿宋_GB2312" w:cs="仿宋_GB2312"/>
          <w:sz w:val="32"/>
          <w:szCs w:val="32"/>
        </w:rPr>
        <w:t>，了解企业在金融服务，信贷资金需求等方面的问题，广大轴承经销商表示出对产品的浓厚兴趣。对于有信贷资金需求的客户，现场进行了申贷资料收集。</w:t>
      </w:r>
    </w:p>
    <w:p>
      <w:pPr>
        <w:pStyle w:val="2"/>
        <w:rPr>
          <w:rFonts w:hint="eastAsia" w:ascii="仿宋_GB2312" w:hAnsi="宋体" w:eastAsia="仿宋_GB2312" w:cs="仿宋_GB2312"/>
          <w:color w:val="333333"/>
          <w:spacing w:val="-1"/>
          <w:sz w:val="31"/>
          <w:szCs w:val="31"/>
          <w:shd w:val="clear" w:color="auto" w:fill="FFFFFF"/>
        </w:rPr>
      </w:pPr>
      <w:r>
        <w:rPr>
          <w:rFonts w:ascii="仿宋" w:eastAsia="仿宋" w:cs="仿宋"/>
          <w:sz w:val="32"/>
          <w:szCs w:val="32"/>
          <w:lang w:val="en-US" w:eastAsia="zh-CN" w:bidi="ar-SA"/>
        </w:rPr>
        <w:drawing>
          <wp:inline distT="0" distB="0" distL="114300" distR="114300">
            <wp:extent cx="4286250" cy="3215005"/>
            <wp:effectExtent l="0" t="0" r="0" b="4445"/>
            <wp:docPr id="1" name="图片 1" descr="3725747121737971966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725747121737971966128.png"/>
                    <pic:cNvPicPr>
                      <a:picLocks noChangeAspect="1"/>
                    </pic:cNvPicPr>
                  </pic:nvPicPr>
                  <pic:blipFill>
                    <a:blip r:embed="rId6"/>
                    <a:stretch>
                      <a:fillRect/>
                    </a:stretch>
                  </pic:blipFill>
                  <pic:spPr>
                    <a:xfrm>
                      <a:off x="0" y="0"/>
                      <a:ext cx="4286250" cy="3215005"/>
                    </a:xfrm>
                    <a:prstGeom prst="rect">
                      <a:avLst/>
                    </a:prstGeom>
                    <a:noFill/>
                    <a:ln>
                      <a:noFill/>
                    </a:ln>
                  </pic:spPr>
                </pic:pic>
              </a:graphicData>
            </a:graphic>
          </wp:inline>
        </w:drawing>
      </w:r>
    </w:p>
    <w:p>
      <w:pPr>
        <w:spacing w:line="600" w:lineRule="exact"/>
        <w:ind w:firstLine="636" w:firstLineChars="200"/>
        <w:rPr>
          <w:rFonts w:hint="eastAsia" w:ascii="仿宋_GB2312" w:hAnsi="仿宋_GB2312" w:eastAsia="仿宋_GB2312" w:cs="仿宋_GB2312"/>
          <w:sz w:val="32"/>
          <w:szCs w:val="32"/>
        </w:rPr>
      </w:pPr>
      <w:r>
        <w:rPr>
          <w:rFonts w:ascii="仿宋_GB2312" w:hAnsi="宋体" w:eastAsia="仿宋_GB2312" w:cs="仿宋_GB2312"/>
          <w:i w:val="0"/>
          <w:caps w:val="0"/>
          <w:color w:val="333333"/>
          <w:spacing w:val="-1"/>
          <w:sz w:val="32"/>
          <w:szCs w:val="32"/>
          <w:shd w:val="clear" w:fill="FFFFFF"/>
        </w:rPr>
        <w:t>为全面贯彻落实党的二十大精神及中央经济工作会议、中央金融工作会议部署，深刻把握金融工作政治性、人民性，积极践行以人民为中心的价值取向，提升社会公众金融素养，维护金融消费者和投资者合法权益。</w:t>
      </w:r>
      <w:r>
        <w:rPr>
          <w:rFonts w:hint="eastAsia" w:ascii="仿宋_GB2312" w:hAnsi="宋体" w:eastAsia="仿宋_GB2312" w:cs="仿宋_GB2312"/>
          <w:i w:val="0"/>
          <w:caps w:val="0"/>
          <w:color w:val="333333"/>
          <w:spacing w:val="-1"/>
          <w:sz w:val="32"/>
          <w:szCs w:val="32"/>
          <w:shd w:val="clear" w:fill="FFFFFF"/>
        </w:rPr>
        <w:t>临清沪农商村镇银行党支部书记、董事长及一线工作人员参加了临清金融监管支局联合临清市金融运行监测中心在临清市运河文化广场组织开展的2025年金融教育宣传周启动仪式，临清沪农商村镇银行2025年金融教育宣传周活动同步正式启动。</w:t>
      </w:r>
    </w:p>
    <w:p>
      <w:pPr>
        <w:pStyle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387600" cy="2206625"/>
            <wp:effectExtent l="0" t="0" r="12700" b="3175"/>
            <wp:docPr id="2" name="图片 2" descr="图片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2)"/>
                    <pic:cNvPicPr>
                      <a:picLocks noChangeAspect="1"/>
                    </pic:cNvPicPr>
                  </pic:nvPicPr>
                  <pic:blipFill>
                    <a:blip r:embed="rId7"/>
                    <a:stretch>
                      <a:fillRect/>
                    </a:stretch>
                  </pic:blipFill>
                  <pic:spPr>
                    <a:xfrm>
                      <a:off x="0" y="0"/>
                      <a:ext cx="2387600" cy="2206625"/>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2226310" cy="2226310"/>
            <wp:effectExtent l="0" t="0" r="2540" b="254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8"/>
                    <a:stretch>
                      <a:fillRect/>
                    </a:stretch>
                  </pic:blipFill>
                  <pic:spPr>
                    <a:xfrm>
                      <a:off x="0" y="0"/>
                      <a:ext cx="2226310" cy="2226310"/>
                    </a:xfrm>
                    <a:prstGeom prst="rect">
                      <a:avLst/>
                    </a:prstGeom>
                  </pic:spPr>
                </pic:pic>
              </a:graphicData>
            </a:graphic>
          </wp:inline>
        </w:drawing>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有效解决服务半径短的问题，临清村行不断延伸金融服务触角，携带便捷式移动终端开展外拓业务，推广便民、惠民、利民服务，为群众做实事。居民纷纷集中到社区服务点领取宣传材料，咨询金融产品问题，切实感受到</w:t>
      </w:r>
      <w:r>
        <w:rPr>
          <w:rFonts w:hint="eastAsia" w:ascii="仿宋_GB2312" w:hAnsi="Times New Roman" w:eastAsia="仿宋_GB2312" w:cs="Times New Roman"/>
          <w:sz w:val="32"/>
          <w:szCs w:val="32"/>
          <w:highlight w:val="none"/>
          <w:lang w:val="en-US" w:eastAsia="zh-CN"/>
        </w:rPr>
        <w:t>临清村行</w:t>
      </w:r>
      <w:r>
        <w:rPr>
          <w:rFonts w:hint="eastAsia" w:ascii="仿宋_GB2312" w:hAnsi="仿宋_GB2312" w:eastAsia="仿宋_GB2312" w:cs="仿宋_GB2312"/>
          <w:sz w:val="32"/>
          <w:szCs w:val="32"/>
        </w:rPr>
        <w:t>的热心便民服务。</w:t>
      </w:r>
    </w:p>
    <w:p>
      <w:pPr>
        <w:spacing w:line="60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第三节  社会责任管理</w:t>
      </w:r>
    </w:p>
    <w:p>
      <w:pPr>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党建引领</w:t>
      </w:r>
    </w:p>
    <w:p>
      <w:pPr>
        <w:widowControl/>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认真贯彻落实上级党委工作要求，着力构建党的领导和公司治理有机融合的制度框架，把党的领导融入公司治理各环节，将党建工作要求写入公司章程，健全公司党组织议事决策机制。在领导班子的密切配合下，始终以习近平新时代中国特色社会主义思想为指导，全面贯彻落实党的路线方针政策，深入构建“理论学习”“队伍建设”“廉政责任”三位一体机制，把党建工作和整体工作目标同部署、同检查、同落实，为各项工作的开展提供了思想基础和组织保障。</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临清村行通过党建引领，进一步将全行思想统一到公司可持续发展能力和支持实体经济上，树立良好的社会声誉和品牌形象。</w:t>
      </w:r>
    </w:p>
    <w:p>
      <w:pPr>
        <w:pStyle w:val="2"/>
        <w:rPr>
          <w:rFonts w:hint="eastAsia" w:ascii="仿宋_GB2312" w:hAnsi="仿宋_GB2312" w:eastAsia="仿宋_GB2312" w:cs="仿宋_GB2312"/>
          <w:i w:val="0"/>
          <w:caps w:val="0"/>
          <w:color w:val="333333"/>
          <w:spacing w:val="0"/>
          <w:sz w:val="32"/>
          <w:szCs w:val="32"/>
          <w:shd w:val="clear" w:fill="FFFFFF"/>
        </w:rPr>
      </w:pPr>
      <w:r>
        <w:rPr>
          <w:rFonts w:hint="eastAsia" w:ascii="仿宋_GB2312" w:hAnsi="仿宋_GB2312" w:eastAsia="仿宋_GB2312" w:cs="仿宋_GB2312"/>
          <w:i w:val="0"/>
          <w:caps w:val="0"/>
          <w:color w:val="333333"/>
          <w:spacing w:val="0"/>
          <w:sz w:val="32"/>
          <w:szCs w:val="32"/>
          <w:shd w:val="clear" w:fill="FFFFFF"/>
        </w:rPr>
        <w:t>为深入贯彻党的二十大精神，践行中央八项规定精神，强化党员干部党性修养，</w:t>
      </w:r>
      <w:r>
        <w:rPr>
          <w:rFonts w:hint="eastAsia" w:ascii="仿宋_GB2312" w:hAnsi="仿宋_GB2312" w:eastAsia="仿宋_GB2312" w:cs="仿宋_GB2312"/>
          <w:i w:val="0"/>
          <w:caps w:val="0"/>
          <w:color w:val="333333"/>
          <w:spacing w:val="0"/>
          <w:sz w:val="32"/>
          <w:szCs w:val="32"/>
          <w:shd w:val="clear" w:fill="FFFFFF"/>
          <w:lang w:val="en-US" w:eastAsia="zh-CN"/>
        </w:rPr>
        <w:t>2025年</w:t>
      </w:r>
      <w:r>
        <w:rPr>
          <w:rFonts w:hint="eastAsia" w:ascii="仿宋_GB2312" w:hAnsi="仿宋_GB2312" w:eastAsia="仿宋_GB2312" w:cs="仿宋_GB2312"/>
          <w:i w:val="0"/>
          <w:caps w:val="0"/>
          <w:color w:val="333333"/>
          <w:spacing w:val="0"/>
          <w:sz w:val="32"/>
          <w:szCs w:val="32"/>
          <w:shd w:val="clear" w:fill="FFFFFF"/>
        </w:rPr>
        <w:t>4月25日，临清沪农商村镇银行党支部组织全体党员、团员等共赴魏湾镇开展"弘扬清风正气、凝聚奋进力量"主题党日活动，魏湾镇党委书记魏薇、党委副书记武振凯、分管镇长董鑫等领导应邀出席。本次活动实地参观魏湾镇中华海棠园、中共清平县委旧址、临清贡砖基地，并共同交流实践感悟，进一步筑牢思想根基，激发了干事创业热情。</w:t>
      </w:r>
    </w:p>
    <w:p>
      <w:pPr>
        <w:pStyle w:val="2"/>
        <w:rPr>
          <w:rFonts w:hint="eastAsia" w:ascii="仿宋_GB2312" w:hAnsi="Times New Roman" w:eastAsia="仿宋_GB2312" w:cs="仿宋_GB2312"/>
          <w:i w:val="0"/>
          <w:caps w:val="0"/>
          <w:color w:val="333333"/>
          <w:spacing w:val="0"/>
          <w:sz w:val="31"/>
          <w:szCs w:val="31"/>
          <w:shd w:val="clear" w:fill="FFFFFF"/>
          <w:lang w:eastAsia="zh-CN"/>
        </w:rPr>
      </w:pPr>
      <w:r>
        <w:rPr>
          <w:rFonts w:hint="eastAsia" w:ascii="仿宋_GB2312" w:hAnsi="Times New Roman" w:eastAsia="仿宋_GB2312" w:cs="仿宋_GB2312"/>
          <w:i w:val="0"/>
          <w:caps w:val="0"/>
          <w:color w:val="333333"/>
          <w:spacing w:val="0"/>
          <w:sz w:val="31"/>
          <w:szCs w:val="31"/>
          <w:shd w:val="clear" w:fill="FFFFFF"/>
          <w:lang w:eastAsia="zh-CN"/>
        </w:rPr>
        <w:drawing>
          <wp:inline distT="0" distB="0" distL="114300" distR="114300">
            <wp:extent cx="4304665" cy="3230880"/>
            <wp:effectExtent l="0" t="0" r="635" b="7620"/>
            <wp:docPr id="12" name="图片 12"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 (5)"/>
                    <pic:cNvPicPr>
                      <a:picLocks noChangeAspect="1"/>
                    </pic:cNvPicPr>
                  </pic:nvPicPr>
                  <pic:blipFill>
                    <a:blip r:embed="rId9"/>
                    <a:stretch>
                      <a:fillRect/>
                    </a:stretch>
                  </pic:blipFill>
                  <pic:spPr>
                    <a:xfrm>
                      <a:off x="0" y="0"/>
                      <a:ext cx="4304665" cy="3230880"/>
                    </a:xfrm>
                    <a:prstGeom prst="rect">
                      <a:avLst/>
                    </a:prstGeom>
                  </pic:spPr>
                </pic:pic>
              </a:graphicData>
            </a:graphic>
          </wp:inline>
        </w:drawing>
      </w:r>
    </w:p>
    <w:p>
      <w:pPr>
        <w:ind w:firstLine="616" w:firstLineChars="200"/>
        <w:jc w:val="left"/>
        <w:rPr>
          <w:rFonts w:ascii="仿宋" w:hAnsi="仿宋" w:eastAsia="仿宋" w:cs="仿宋"/>
          <w:sz w:val="28"/>
          <w:szCs w:val="28"/>
        </w:rPr>
      </w:pPr>
      <w:r>
        <w:rPr>
          <w:rFonts w:ascii="仿宋_GB2312" w:hAnsi="宋体" w:eastAsia="仿宋_GB2312" w:cs="仿宋_GB2312"/>
          <w:i w:val="0"/>
          <w:caps w:val="0"/>
          <w:color w:val="333333"/>
          <w:spacing w:val="-1"/>
          <w:sz w:val="31"/>
          <w:szCs w:val="31"/>
          <w:shd w:val="clear" w:fill="FFFFFF"/>
        </w:rPr>
        <w:t>为庆祝中国共产党成立</w:t>
      </w:r>
      <w:r>
        <w:rPr>
          <w:rFonts w:hint="eastAsia" w:ascii="仿宋_GB2312" w:hAnsi="宋体" w:eastAsia="仿宋_GB2312" w:cs="仿宋_GB2312"/>
          <w:i w:val="0"/>
          <w:caps w:val="0"/>
          <w:color w:val="333333"/>
          <w:spacing w:val="-1"/>
          <w:sz w:val="31"/>
          <w:szCs w:val="31"/>
          <w:shd w:val="clear" w:fill="FFFFFF"/>
        </w:rPr>
        <w:t>104周年，深入贯彻落实中央八项规定精神，进一步加强党风廉政建设，</w:t>
      </w:r>
      <w:r>
        <w:rPr>
          <w:rFonts w:hint="eastAsia" w:ascii="仿宋_GB2312" w:hAnsi="宋体" w:eastAsia="仿宋_GB2312" w:cs="仿宋_GB2312"/>
          <w:i w:val="0"/>
          <w:caps w:val="0"/>
          <w:color w:val="333333"/>
          <w:spacing w:val="-1"/>
          <w:sz w:val="31"/>
          <w:szCs w:val="31"/>
          <w:shd w:val="clear" w:fill="FFFFFF"/>
          <w:lang w:val="en-US" w:eastAsia="zh-CN"/>
        </w:rPr>
        <w:t>2025年</w:t>
      </w:r>
      <w:r>
        <w:rPr>
          <w:rFonts w:hint="eastAsia" w:ascii="仿宋_GB2312" w:hAnsi="宋体" w:eastAsia="仿宋_GB2312" w:cs="仿宋_GB2312"/>
          <w:i w:val="0"/>
          <w:caps w:val="0"/>
          <w:color w:val="333333"/>
          <w:spacing w:val="-1"/>
          <w:sz w:val="31"/>
          <w:szCs w:val="31"/>
          <w:shd w:val="clear" w:fill="FFFFFF"/>
        </w:rPr>
        <w:t>7月1日，中共临清沪农商村镇银行支部委员会组织全体党员前往中共鲁西北地委旧址，开展“践行八项规定，弘扬清风正气，凝聚奋进力量”主题党建活动。</w:t>
      </w:r>
    </w:p>
    <w:p>
      <w:pPr>
        <w:ind w:firstLine="560" w:firstLineChars="200"/>
        <w:jc w:val="left"/>
        <w:rPr>
          <w:rFonts w:hint="eastAsia" w:ascii="仿宋" w:hAnsi="仿宋" w:eastAsia="仿宋" w:cs="仿宋"/>
          <w:sz w:val="28"/>
          <w:szCs w:val="28"/>
        </w:rPr>
      </w:pPr>
      <w:r>
        <w:rPr>
          <w:rFonts w:ascii="仿宋" w:hAnsi="仿宋" w:eastAsia="仿宋" w:cs="仿宋"/>
          <w:sz w:val="28"/>
          <w:szCs w:val="28"/>
        </w:rPr>
        <w:drawing>
          <wp:inline distT="0" distB="0" distL="114300" distR="114300">
            <wp:extent cx="4538980" cy="3403600"/>
            <wp:effectExtent l="0" t="0" r="13970" b="6350"/>
            <wp:docPr id="7" name="图片 7" descr="074f4365319db087396b61d8fe0f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74f4365319db087396b61d8fe0fef4"/>
                    <pic:cNvPicPr>
                      <a:picLocks noChangeAspect="1"/>
                    </pic:cNvPicPr>
                  </pic:nvPicPr>
                  <pic:blipFill>
                    <a:blip r:embed="rId10"/>
                    <a:stretch>
                      <a:fillRect/>
                    </a:stretch>
                  </pic:blipFill>
                  <pic:spPr>
                    <a:xfrm>
                      <a:off x="0" y="0"/>
                      <a:ext cx="4538980" cy="3403600"/>
                    </a:xfrm>
                    <a:prstGeom prst="rect">
                      <a:avLst/>
                    </a:prstGeom>
                  </pic:spPr>
                </pic:pic>
              </a:graphicData>
            </a:graphic>
          </wp:inline>
        </w:drawing>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公司治理</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年，临清村行共召开股东会</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次，审议或听取议案</w:t>
      </w:r>
      <w:r>
        <w:rPr>
          <w:rFonts w:hint="eastAsia" w:ascii="仿宋_GB2312" w:hAnsi="仿宋_GB2312" w:eastAsia="仿宋_GB2312" w:cs="仿宋_GB2312"/>
          <w:sz w:val="32"/>
          <w:szCs w:val="32"/>
          <w:lang w:val="en-US" w:eastAsia="zh-CN"/>
        </w:rPr>
        <w:t>37</w:t>
      </w:r>
      <w:r>
        <w:rPr>
          <w:rFonts w:hint="eastAsia" w:ascii="仿宋_GB2312" w:hAnsi="仿宋_GB2312" w:eastAsia="仿宋_GB2312" w:cs="仿宋_GB2312"/>
          <w:sz w:val="32"/>
          <w:szCs w:val="32"/>
        </w:rPr>
        <w:t>项。股东会的召集、召开，出席会议的人员资格，表决程序均符合法律、法规和公司章程的规定，股东会通过的各项决议合法有效。</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报告期内，临清村行董事会召开</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次会议，审议或听取议案1</w:t>
      </w:r>
      <w:r>
        <w:rPr>
          <w:rFonts w:hint="eastAsia" w:ascii="仿宋_GB2312" w:hAnsi="仿宋_GB2312" w:eastAsia="仿宋_GB2312" w:cs="仿宋_GB2312"/>
          <w:sz w:val="32"/>
          <w:szCs w:val="32"/>
          <w:lang w:val="en-US" w:eastAsia="zh-CN"/>
        </w:rPr>
        <w:t>00</w:t>
      </w:r>
      <w:r>
        <w:rPr>
          <w:rFonts w:hint="eastAsia" w:ascii="仿宋_GB2312" w:hAnsi="仿宋_GB2312" w:eastAsia="仿宋_GB2312" w:cs="仿宋_GB2312"/>
          <w:sz w:val="32"/>
          <w:szCs w:val="32"/>
        </w:rPr>
        <w:t>项。全体董事诚信、专业、勤勉、尽责，严格按照《公司法》、公司章程和公司治理程序</w:t>
      </w:r>
      <w:r>
        <w:rPr>
          <w:rFonts w:hint="eastAsia" w:ascii="仿宋_GB2312" w:hAnsi="仿宋_GB2312" w:eastAsia="仿宋_GB2312" w:cs="仿宋_GB2312"/>
          <w:sz w:val="32"/>
          <w:szCs w:val="32"/>
          <w:lang w:val="en-US" w:eastAsia="zh-CN"/>
        </w:rPr>
        <w:t>开展各项工作</w:t>
      </w:r>
      <w:r>
        <w:rPr>
          <w:rFonts w:hint="eastAsia" w:ascii="仿宋_GB2312" w:hAnsi="仿宋_GB2312" w:eastAsia="仿宋_GB2312" w:cs="仿宋_GB2312"/>
          <w:sz w:val="32"/>
          <w:szCs w:val="32"/>
        </w:rPr>
        <w:t>，切实保护股东的合法权益，关注和维护存款人和其他利益相关者的利益，有效履行受托职责。</w:t>
      </w:r>
    </w:p>
    <w:p>
      <w:pPr>
        <w:spacing w:line="60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报告期内，临清村行监事会召开</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次会议，审议或听取议案</w:t>
      </w:r>
      <w:r>
        <w:rPr>
          <w:rFonts w:hint="eastAsia" w:ascii="仿宋_GB2312" w:hAnsi="仿宋_GB2312" w:eastAsia="仿宋_GB2312" w:cs="仿宋_GB2312"/>
          <w:sz w:val="32"/>
          <w:szCs w:val="32"/>
          <w:lang w:val="en-US" w:eastAsia="zh-CN"/>
        </w:rPr>
        <w:t>51</w:t>
      </w:r>
      <w:r>
        <w:rPr>
          <w:rFonts w:hint="eastAsia" w:ascii="仿宋_GB2312" w:hAnsi="仿宋_GB2312" w:eastAsia="仿宋_GB2312" w:cs="仿宋_GB2312"/>
          <w:sz w:val="32"/>
          <w:szCs w:val="32"/>
        </w:rPr>
        <w:t>项。全体监事勤勉敬业，认真履职，积极参加监事会会议，出席股东会，列席董事会会议，独立发表意见。</w:t>
      </w:r>
      <w:r>
        <w:rPr>
          <w:rFonts w:hint="eastAsia" w:ascii="仿宋_GB2312" w:hAnsi="仿宋_GB2312" w:eastAsia="仿宋_GB2312" w:cs="仿宋_GB2312"/>
          <w:sz w:val="32"/>
          <w:szCs w:val="32"/>
          <w:lang w:val="en-US" w:eastAsia="zh-CN"/>
        </w:rPr>
        <w:t>2025年12月5日</w:t>
      </w:r>
      <w:r>
        <w:rPr>
          <w:rFonts w:hint="eastAsia" w:ascii="仿宋_GB2312" w:hAnsi="Times New Roman" w:eastAsia="仿宋_GB2312" w:cs="Times New Roman"/>
          <w:sz w:val="32"/>
          <w:szCs w:val="32"/>
          <w:highlight w:val="none"/>
          <w:lang w:val="en-US" w:eastAsia="zh-CN"/>
        </w:rPr>
        <w:t>临清村行</w:t>
      </w:r>
      <w:r>
        <w:rPr>
          <w:rFonts w:hint="eastAsia" w:ascii="仿宋_GB2312" w:hAnsi="仿宋_GB2312" w:eastAsia="仿宋_GB2312" w:cs="仿宋_GB2312"/>
          <w:sz w:val="32"/>
          <w:szCs w:val="32"/>
          <w:lang w:val="en-US" w:eastAsia="zh-CN"/>
        </w:rPr>
        <w:t>依法撤销监事会。</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告期内，临清村行高级管理层在董事会的授权和监事会的监督下，积极落实国家的法律法规和《公司章程》的有关规定，工作符合股东会和董事会的决议要求，坚持依法合规经营，稳步推进业务拓展与风险控制、探索创新与全面发展的有机结合，内控管理水平不断提升,较好完成了全年工作任务。</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以“促合规、控风险、稳发展”为目标，在守法合规管理方面主抓内控合规治理框架、完善制度流程、细化内部问责标准、狠抓重要岗位关键人员管理等工作。在反腐倡廉、治理商业贿赂方面，临清村行实施企业内部风险控制，加强教育、监督、惩罚的力度，向各级工作人员传达“清廉金融”精神，开展廉洁从业教育和培训。</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投资者关系管理</w:t>
      </w:r>
    </w:p>
    <w:p>
      <w:pPr>
        <w:widowControl/>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不断加强投资者沟通交流，维护股东合法权益。2020年，临清村行根据中国银保监会办公厅《关于做好&lt;商业银行股权托管办法&gt;实施相关工作的通知》（银保监办发〔2019〕156号）启动了股权托管工作，进一步提高了股权透明度，提升了股东服务水平。</w:t>
      </w:r>
    </w:p>
    <w:p>
      <w:pPr>
        <w:widowControl/>
        <w:spacing w:line="600" w:lineRule="exact"/>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利益相关方沟通</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118"/>
        <w:gridCol w:w="3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利益相关方</w:t>
            </w:r>
          </w:p>
        </w:tc>
        <w:tc>
          <w:tcPr>
            <w:tcW w:w="3118"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期望</w:t>
            </w:r>
          </w:p>
        </w:tc>
        <w:tc>
          <w:tcPr>
            <w:tcW w:w="3968"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回应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政府</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支持实体经济建设</w:t>
            </w:r>
          </w:p>
          <w:p>
            <w:pPr>
              <w:spacing w:line="600" w:lineRule="exact"/>
              <w:jc w:val="left"/>
              <w:rPr>
                <w:rFonts w:hint="eastAsia" w:ascii="仿宋" w:hAnsi="仿宋" w:eastAsia="仿宋" w:cs="仿宋"/>
                <w:sz w:val="24"/>
              </w:rPr>
            </w:pPr>
            <w:r>
              <w:rPr>
                <w:rFonts w:hint="eastAsia" w:ascii="仿宋" w:hAnsi="仿宋" w:eastAsia="仿宋" w:cs="仿宋"/>
                <w:sz w:val="24"/>
              </w:rPr>
              <w:t>落实乡村振兴工作部署</w:t>
            </w:r>
          </w:p>
          <w:p>
            <w:pPr>
              <w:spacing w:line="600" w:lineRule="exact"/>
              <w:jc w:val="left"/>
              <w:rPr>
                <w:rFonts w:hint="eastAsia" w:ascii="仿宋" w:hAnsi="仿宋" w:eastAsia="仿宋" w:cs="仿宋"/>
                <w:sz w:val="24"/>
              </w:rPr>
            </w:pPr>
            <w:r>
              <w:rPr>
                <w:rFonts w:hint="eastAsia" w:ascii="仿宋" w:hAnsi="仿宋" w:eastAsia="仿宋" w:cs="仿宋"/>
                <w:sz w:val="24"/>
              </w:rPr>
              <w:t>促进企业稳健发展</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贯彻国家和地方政策</w:t>
            </w:r>
          </w:p>
          <w:p>
            <w:pPr>
              <w:spacing w:line="600" w:lineRule="exact"/>
              <w:jc w:val="left"/>
              <w:rPr>
                <w:rFonts w:hint="eastAsia" w:ascii="仿宋" w:hAnsi="仿宋" w:eastAsia="仿宋" w:cs="仿宋"/>
                <w:sz w:val="24"/>
              </w:rPr>
            </w:pPr>
            <w:r>
              <w:rPr>
                <w:rFonts w:hint="eastAsia" w:ascii="仿宋" w:hAnsi="仿宋" w:eastAsia="仿宋" w:cs="仿宋"/>
                <w:sz w:val="24"/>
              </w:rPr>
              <w:t>开展乡村振兴</w:t>
            </w:r>
          </w:p>
          <w:p>
            <w:pPr>
              <w:spacing w:line="600" w:lineRule="exact"/>
              <w:jc w:val="left"/>
              <w:rPr>
                <w:rFonts w:hint="eastAsia" w:ascii="仿宋" w:hAnsi="仿宋" w:eastAsia="仿宋" w:cs="仿宋"/>
                <w:sz w:val="24"/>
              </w:rPr>
            </w:pPr>
            <w:r>
              <w:rPr>
                <w:rFonts w:hint="eastAsia" w:ascii="仿宋" w:hAnsi="仿宋" w:eastAsia="仿宋" w:cs="仿宋"/>
                <w:sz w:val="24"/>
              </w:rPr>
              <w:t>明确支农支小战略定位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股东与投资者</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良好的投资回报</w:t>
            </w:r>
          </w:p>
          <w:p>
            <w:pPr>
              <w:spacing w:line="600" w:lineRule="exact"/>
              <w:jc w:val="left"/>
              <w:rPr>
                <w:rFonts w:hint="eastAsia" w:ascii="仿宋" w:hAnsi="仿宋" w:eastAsia="仿宋" w:cs="仿宋"/>
                <w:sz w:val="24"/>
              </w:rPr>
            </w:pPr>
            <w:r>
              <w:rPr>
                <w:rFonts w:hint="eastAsia" w:ascii="仿宋" w:hAnsi="仿宋" w:eastAsia="仿宋" w:cs="仿宋"/>
                <w:sz w:val="24"/>
              </w:rPr>
              <w:t>全面及时的信息披露</w:t>
            </w:r>
          </w:p>
          <w:p>
            <w:pPr>
              <w:spacing w:line="600" w:lineRule="exact"/>
              <w:jc w:val="left"/>
              <w:rPr>
                <w:rFonts w:hint="eastAsia" w:ascii="仿宋" w:hAnsi="仿宋" w:eastAsia="仿宋" w:cs="仿宋"/>
                <w:sz w:val="24"/>
              </w:rPr>
            </w:pPr>
            <w:r>
              <w:rPr>
                <w:rFonts w:hint="eastAsia" w:ascii="仿宋" w:hAnsi="仿宋" w:eastAsia="仿宋" w:cs="仿宋"/>
                <w:sz w:val="24"/>
              </w:rPr>
              <w:t>健全的企业内部机制建设</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全面准确地把握经济形势和当地特色，强化风险管理，创造可持续价值回报</w:t>
            </w:r>
          </w:p>
          <w:p>
            <w:pPr>
              <w:spacing w:line="600" w:lineRule="exact"/>
              <w:jc w:val="left"/>
              <w:rPr>
                <w:rFonts w:hint="eastAsia" w:ascii="仿宋" w:hAnsi="仿宋" w:eastAsia="仿宋" w:cs="仿宋"/>
                <w:sz w:val="24"/>
              </w:rPr>
            </w:pPr>
            <w:r>
              <w:rPr>
                <w:rFonts w:hint="eastAsia" w:ascii="仿宋" w:hAnsi="仿宋" w:eastAsia="仿宋" w:cs="仿宋"/>
                <w:sz w:val="24"/>
              </w:rPr>
              <w:t>准确披露信息，提高透明度</w:t>
            </w:r>
          </w:p>
          <w:p>
            <w:pPr>
              <w:spacing w:line="600" w:lineRule="exact"/>
              <w:jc w:val="left"/>
              <w:rPr>
                <w:rFonts w:hint="eastAsia" w:ascii="仿宋" w:hAnsi="仿宋" w:eastAsia="仿宋" w:cs="仿宋"/>
                <w:sz w:val="24"/>
              </w:rPr>
            </w:pPr>
            <w:r>
              <w:rPr>
                <w:rFonts w:hint="eastAsia" w:ascii="仿宋" w:hAnsi="仿宋" w:eastAsia="仿宋" w:cs="仿宋"/>
                <w:sz w:val="24"/>
              </w:rPr>
              <w:t>完善公司治理机制，依法合规、稳健经营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客户</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热情、便捷的金融服务</w:t>
            </w:r>
          </w:p>
          <w:p>
            <w:pPr>
              <w:spacing w:line="600" w:lineRule="exact"/>
              <w:jc w:val="left"/>
              <w:rPr>
                <w:rFonts w:hint="eastAsia" w:ascii="仿宋" w:hAnsi="仿宋" w:eastAsia="仿宋" w:cs="仿宋"/>
                <w:sz w:val="24"/>
              </w:rPr>
            </w:pPr>
            <w:r>
              <w:rPr>
                <w:rFonts w:hint="eastAsia" w:ascii="仿宋" w:hAnsi="仿宋" w:eastAsia="仿宋" w:cs="仿宋"/>
                <w:sz w:val="24"/>
              </w:rPr>
              <w:t>满足不同需求的金融产品</w:t>
            </w:r>
          </w:p>
          <w:p>
            <w:pPr>
              <w:spacing w:line="600" w:lineRule="exact"/>
              <w:jc w:val="left"/>
              <w:rPr>
                <w:rFonts w:hint="eastAsia" w:ascii="仿宋" w:hAnsi="仿宋" w:eastAsia="仿宋" w:cs="仿宋"/>
                <w:sz w:val="24"/>
              </w:rPr>
            </w:pPr>
            <w:r>
              <w:rPr>
                <w:rFonts w:hint="eastAsia" w:ascii="仿宋" w:hAnsi="仿宋" w:eastAsia="仿宋" w:cs="仿宋"/>
                <w:sz w:val="24"/>
              </w:rPr>
              <w:t>倾听客户的意见</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强化员工服务意识和业务能力</w:t>
            </w:r>
          </w:p>
          <w:p>
            <w:pPr>
              <w:spacing w:line="600" w:lineRule="exact"/>
              <w:jc w:val="left"/>
              <w:rPr>
                <w:rFonts w:hint="eastAsia" w:ascii="仿宋" w:hAnsi="仿宋" w:eastAsia="仿宋" w:cs="仿宋"/>
                <w:sz w:val="24"/>
              </w:rPr>
            </w:pPr>
            <w:r>
              <w:rPr>
                <w:rFonts w:hint="eastAsia" w:ascii="仿宋" w:hAnsi="仿宋" w:eastAsia="仿宋" w:cs="仿宋"/>
                <w:sz w:val="24"/>
              </w:rPr>
              <w:t>创新金融产品的种类与模式</w:t>
            </w:r>
          </w:p>
          <w:p>
            <w:pPr>
              <w:spacing w:line="600" w:lineRule="exact"/>
              <w:jc w:val="left"/>
              <w:rPr>
                <w:rFonts w:hint="eastAsia" w:ascii="仿宋" w:hAnsi="仿宋" w:eastAsia="仿宋" w:cs="仿宋"/>
                <w:sz w:val="24"/>
              </w:rPr>
            </w:pPr>
            <w:r>
              <w:rPr>
                <w:rFonts w:hint="eastAsia" w:ascii="仿宋" w:hAnsi="仿宋" w:eastAsia="仿宋" w:cs="仿宋"/>
                <w:sz w:val="24"/>
              </w:rPr>
              <w:t>简化业务流程，完善投诉机制</w:t>
            </w:r>
          </w:p>
          <w:p>
            <w:pPr>
              <w:spacing w:line="600" w:lineRule="exact"/>
              <w:jc w:val="left"/>
              <w:rPr>
                <w:rFonts w:hint="eastAsia" w:ascii="仿宋" w:hAnsi="仿宋" w:eastAsia="仿宋" w:cs="仿宋"/>
                <w:sz w:val="24"/>
              </w:rPr>
            </w:pPr>
            <w:r>
              <w:rPr>
                <w:rFonts w:hint="eastAsia" w:ascii="仿宋" w:hAnsi="仿宋" w:eastAsia="仿宋" w:cs="仿宋"/>
                <w:sz w:val="24"/>
              </w:rPr>
              <w:t>保护消费者权益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员工</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以人为本</w:t>
            </w:r>
          </w:p>
          <w:p>
            <w:pPr>
              <w:spacing w:line="600" w:lineRule="exact"/>
              <w:jc w:val="left"/>
              <w:rPr>
                <w:rFonts w:hint="eastAsia" w:ascii="仿宋" w:hAnsi="仿宋" w:eastAsia="仿宋" w:cs="仿宋"/>
                <w:sz w:val="24"/>
              </w:rPr>
            </w:pPr>
            <w:r>
              <w:rPr>
                <w:rFonts w:hint="eastAsia" w:ascii="仿宋" w:hAnsi="仿宋" w:eastAsia="仿宋" w:cs="仿宋"/>
                <w:sz w:val="24"/>
              </w:rPr>
              <w:t>关注成长</w:t>
            </w:r>
          </w:p>
          <w:p>
            <w:pPr>
              <w:spacing w:line="600" w:lineRule="exact"/>
              <w:jc w:val="left"/>
              <w:rPr>
                <w:rFonts w:hint="eastAsia" w:ascii="仿宋" w:hAnsi="仿宋" w:eastAsia="仿宋" w:cs="仿宋"/>
                <w:sz w:val="24"/>
              </w:rPr>
            </w:pPr>
            <w:r>
              <w:rPr>
                <w:rFonts w:hint="eastAsia" w:ascii="仿宋" w:hAnsi="仿宋" w:eastAsia="仿宋" w:cs="仿宋"/>
                <w:sz w:val="24"/>
              </w:rPr>
              <w:t>实现自我价值</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保障员工合法权益</w:t>
            </w:r>
          </w:p>
          <w:p>
            <w:pPr>
              <w:spacing w:line="600" w:lineRule="exact"/>
              <w:jc w:val="left"/>
              <w:rPr>
                <w:rFonts w:hint="eastAsia" w:ascii="仿宋" w:hAnsi="仿宋" w:eastAsia="仿宋" w:cs="仿宋"/>
                <w:sz w:val="24"/>
              </w:rPr>
            </w:pPr>
            <w:r>
              <w:rPr>
                <w:rFonts w:hint="eastAsia" w:ascii="仿宋" w:hAnsi="仿宋" w:eastAsia="仿宋" w:cs="仿宋"/>
                <w:sz w:val="24"/>
              </w:rPr>
              <w:t>完善薪酬福利体系和职业发展规划</w:t>
            </w:r>
          </w:p>
          <w:p>
            <w:pPr>
              <w:spacing w:line="600" w:lineRule="exact"/>
              <w:jc w:val="left"/>
              <w:rPr>
                <w:rFonts w:hint="eastAsia" w:ascii="仿宋" w:hAnsi="仿宋" w:eastAsia="仿宋" w:cs="仿宋"/>
                <w:sz w:val="24"/>
              </w:rPr>
            </w:pPr>
            <w:r>
              <w:rPr>
                <w:rFonts w:hint="eastAsia" w:ascii="仿宋" w:hAnsi="仿宋" w:eastAsia="仿宋" w:cs="仿宋"/>
                <w:sz w:val="24"/>
              </w:rPr>
              <w:t>探索企业文化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供应商与合作伙伴</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诚实守信</w:t>
            </w:r>
          </w:p>
          <w:p>
            <w:pPr>
              <w:spacing w:line="600" w:lineRule="exact"/>
              <w:jc w:val="left"/>
              <w:rPr>
                <w:rFonts w:hint="eastAsia" w:ascii="仿宋" w:hAnsi="仿宋" w:eastAsia="仿宋" w:cs="仿宋"/>
                <w:sz w:val="24"/>
              </w:rPr>
            </w:pPr>
            <w:r>
              <w:rPr>
                <w:rFonts w:hint="eastAsia" w:ascii="仿宋" w:hAnsi="仿宋" w:eastAsia="仿宋" w:cs="仿宋"/>
                <w:sz w:val="24"/>
              </w:rPr>
              <w:t>互利共赢</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公平竞争，诚信履约</w:t>
            </w:r>
          </w:p>
          <w:p>
            <w:pPr>
              <w:spacing w:line="600" w:lineRule="exact"/>
              <w:jc w:val="left"/>
              <w:rPr>
                <w:rFonts w:hint="eastAsia" w:ascii="仿宋" w:hAnsi="仿宋" w:eastAsia="仿宋" w:cs="仿宋"/>
                <w:sz w:val="24"/>
              </w:rPr>
            </w:pPr>
            <w:r>
              <w:rPr>
                <w:rFonts w:hint="eastAsia" w:ascii="仿宋" w:hAnsi="仿宋" w:eastAsia="仿宋" w:cs="仿宋"/>
                <w:sz w:val="24"/>
              </w:rPr>
              <w:t>友好互利，相互尊重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社区</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支持社区建设</w:t>
            </w:r>
          </w:p>
          <w:p>
            <w:pPr>
              <w:spacing w:line="600" w:lineRule="exact"/>
              <w:jc w:val="left"/>
              <w:rPr>
                <w:rFonts w:hint="eastAsia" w:ascii="仿宋" w:hAnsi="仿宋" w:eastAsia="仿宋" w:cs="仿宋"/>
                <w:sz w:val="24"/>
              </w:rPr>
            </w:pPr>
            <w:r>
              <w:rPr>
                <w:rFonts w:hint="eastAsia" w:ascii="仿宋" w:hAnsi="仿宋" w:eastAsia="仿宋" w:cs="仿宋"/>
                <w:sz w:val="24"/>
              </w:rPr>
              <w:t>搭建银村桥梁</w:t>
            </w:r>
          </w:p>
          <w:p>
            <w:pPr>
              <w:spacing w:line="600" w:lineRule="exact"/>
              <w:jc w:val="left"/>
              <w:rPr>
                <w:rFonts w:hint="eastAsia" w:ascii="仿宋" w:hAnsi="仿宋" w:eastAsia="仿宋" w:cs="仿宋"/>
                <w:sz w:val="24"/>
              </w:rPr>
            </w:pPr>
            <w:r>
              <w:rPr>
                <w:rFonts w:hint="eastAsia" w:ascii="仿宋" w:hAnsi="仿宋" w:eastAsia="仿宋" w:cs="仿宋"/>
                <w:sz w:val="24"/>
              </w:rPr>
              <w:t>宣传金融知识</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优化网点布局，提升综合服务能力</w:t>
            </w:r>
          </w:p>
          <w:p>
            <w:pPr>
              <w:spacing w:line="600" w:lineRule="exact"/>
              <w:jc w:val="left"/>
              <w:rPr>
                <w:rFonts w:hint="eastAsia" w:ascii="仿宋" w:hAnsi="仿宋" w:eastAsia="仿宋" w:cs="仿宋"/>
                <w:sz w:val="24"/>
              </w:rPr>
            </w:pPr>
            <w:r>
              <w:rPr>
                <w:rFonts w:hint="eastAsia" w:ascii="仿宋" w:hAnsi="仿宋" w:eastAsia="仿宋" w:cs="仿宋"/>
                <w:sz w:val="24"/>
              </w:rPr>
              <w:t>加大宣传力度，普及金融政策知识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公众与媒体</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塑造品牌形象</w:t>
            </w:r>
          </w:p>
          <w:p>
            <w:pPr>
              <w:spacing w:line="600" w:lineRule="exact"/>
              <w:jc w:val="left"/>
              <w:rPr>
                <w:rFonts w:hint="eastAsia" w:ascii="仿宋" w:hAnsi="仿宋" w:eastAsia="仿宋" w:cs="仿宋"/>
                <w:sz w:val="24"/>
              </w:rPr>
            </w:pPr>
            <w:r>
              <w:rPr>
                <w:rFonts w:hint="eastAsia" w:ascii="仿宋" w:hAnsi="仿宋" w:eastAsia="仿宋" w:cs="仿宋"/>
                <w:sz w:val="24"/>
              </w:rPr>
              <w:t>热心回馈社会</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积极对接，加强宣传</w:t>
            </w:r>
          </w:p>
          <w:p>
            <w:pPr>
              <w:spacing w:line="600" w:lineRule="exact"/>
              <w:jc w:val="left"/>
              <w:rPr>
                <w:rFonts w:hint="eastAsia" w:ascii="仿宋" w:hAnsi="仿宋" w:eastAsia="仿宋" w:cs="仿宋"/>
                <w:sz w:val="24"/>
              </w:rPr>
            </w:pPr>
            <w:r>
              <w:rPr>
                <w:rFonts w:hint="eastAsia" w:ascii="仿宋" w:hAnsi="仿宋" w:eastAsia="仿宋" w:cs="仿宋"/>
                <w:sz w:val="24"/>
              </w:rPr>
              <w:t>投身公益事业，打造品牌口碑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环境</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信贷投向偏好</w:t>
            </w:r>
          </w:p>
          <w:p>
            <w:pPr>
              <w:spacing w:line="600" w:lineRule="exact"/>
              <w:jc w:val="left"/>
              <w:rPr>
                <w:rFonts w:hint="eastAsia" w:ascii="仿宋" w:hAnsi="仿宋" w:eastAsia="仿宋" w:cs="仿宋"/>
                <w:sz w:val="24"/>
              </w:rPr>
            </w:pPr>
            <w:r>
              <w:rPr>
                <w:rFonts w:hint="eastAsia" w:ascii="仿宋" w:hAnsi="仿宋" w:eastAsia="仿宋" w:cs="仿宋"/>
                <w:sz w:val="24"/>
              </w:rPr>
              <w:t>节能减排</w:t>
            </w:r>
          </w:p>
          <w:p>
            <w:pPr>
              <w:spacing w:line="600" w:lineRule="exact"/>
              <w:jc w:val="left"/>
              <w:rPr>
                <w:rFonts w:hint="eastAsia" w:ascii="仿宋" w:hAnsi="仿宋" w:eastAsia="仿宋" w:cs="仿宋"/>
                <w:sz w:val="24"/>
              </w:rPr>
            </w:pPr>
            <w:r>
              <w:rPr>
                <w:rFonts w:hint="eastAsia" w:ascii="仿宋" w:hAnsi="仿宋" w:eastAsia="仿宋" w:cs="仿宋"/>
                <w:sz w:val="24"/>
              </w:rPr>
              <w:t>可持续发展</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限制高污染、高能耗的产品</w:t>
            </w:r>
          </w:p>
          <w:p>
            <w:pPr>
              <w:spacing w:line="600" w:lineRule="exact"/>
              <w:jc w:val="left"/>
              <w:rPr>
                <w:rFonts w:hint="eastAsia" w:ascii="仿宋" w:hAnsi="仿宋" w:eastAsia="仿宋" w:cs="仿宋"/>
                <w:sz w:val="24"/>
              </w:rPr>
            </w:pPr>
            <w:r>
              <w:rPr>
                <w:rFonts w:hint="eastAsia" w:ascii="仿宋" w:hAnsi="仿宋" w:eastAsia="仿宋" w:cs="仿宋"/>
                <w:sz w:val="24"/>
              </w:rPr>
              <w:t>支持无纸化办公</w:t>
            </w:r>
          </w:p>
          <w:p>
            <w:pPr>
              <w:spacing w:line="600" w:lineRule="exact"/>
              <w:jc w:val="left"/>
              <w:rPr>
                <w:rFonts w:hint="eastAsia" w:ascii="仿宋" w:hAnsi="仿宋" w:eastAsia="仿宋" w:cs="仿宋"/>
                <w:sz w:val="24"/>
              </w:rPr>
            </w:pPr>
            <w:r>
              <w:rPr>
                <w:rFonts w:hint="eastAsia" w:ascii="仿宋" w:hAnsi="仿宋" w:eastAsia="仿宋" w:cs="仿宋"/>
                <w:sz w:val="24"/>
              </w:rPr>
              <w:t>倡导节约的企业氛围</w:t>
            </w:r>
          </w:p>
        </w:tc>
      </w:tr>
    </w:tbl>
    <w:p>
      <w:pPr>
        <w:spacing w:line="600" w:lineRule="exac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第四节  社会责任实践</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经济责任</w:t>
      </w:r>
    </w:p>
    <w:p>
      <w:pPr>
        <w:spacing w:line="600" w:lineRule="exact"/>
        <w:ind w:firstLine="640" w:firstLineChars="200"/>
        <w:jc w:val="left"/>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长期以来，临清村行坚持扎根农村，承担乡村振兴新使命。新时代赋予新使命，临清村行在解决社会难点的过程中寻找新机遇、拓展新客户，为客户创造价值，切实提升“三农”、小微、社区客户满意度，实现商业银行与社会功能的</w:t>
      </w:r>
      <w:r>
        <w:rPr>
          <w:rFonts w:hint="eastAsia" w:ascii="仿宋_GB2312" w:hAnsi="仿宋_GB2312" w:eastAsia="仿宋_GB2312" w:cs="仿宋_GB2312"/>
          <w:sz w:val="32"/>
          <w:szCs w:val="32"/>
          <w:highlight w:val="none"/>
        </w:rPr>
        <w:t>有机统一。</w:t>
      </w:r>
    </w:p>
    <w:p>
      <w:pPr>
        <w:spacing w:line="600" w:lineRule="exact"/>
        <w:ind w:firstLine="643" w:firstLineChars="200"/>
        <w:jc w:val="left"/>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服务三农：</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lang w:val="en-US" w:eastAsia="zh-CN"/>
        </w:rPr>
        <w:t>一是积极构建多层次、广泛覆盖的贷款投放体系，继续加大农村金融服务网络的建设力度，做好全方位的金融服务。二是继续坚持“支农、支小”的市场定位，深入挖掘小微、“三农”融资需求，将信贷资金持续投向“三农”。三是完善面向“三农”的金融服务体系，落实整村授信政策，</w:t>
      </w:r>
      <w:r>
        <w:rPr>
          <w:rFonts w:hint="eastAsia" w:ascii="仿宋_GB2312" w:hAnsi="宋体" w:eastAsia="仿宋_GB2312"/>
          <w:sz w:val="32"/>
          <w:szCs w:val="32"/>
          <w:highlight w:val="none"/>
        </w:rPr>
        <w:t>主推“民兴快贷”业务产品，将其与微贷业务体系互相融合，发挥该产品审批便捷、用款灵活等优势，精简客户经理放款流程，进一步释放“生产力”。</w:t>
      </w:r>
      <w:r>
        <w:rPr>
          <w:rFonts w:hint="eastAsia" w:ascii="仿宋_GB2312" w:hAnsi="宋体" w:eastAsia="仿宋_GB2312"/>
          <w:sz w:val="32"/>
          <w:szCs w:val="32"/>
          <w:highlight w:val="none"/>
          <w:lang w:val="en-US" w:eastAsia="zh-CN"/>
        </w:rPr>
        <w:t>四是进一步了解农户和农业企业的需求，推出更具市场竞争力的金融产品，同时开发更多与农业生产周期相匹配的贷款产品，满足农户的多样化需求</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五是继续加大对金融科技的投入，推动金融业务流程的数字化进程，通过大数据提升金融服务智能化水平，降低服务成本。</w:t>
      </w:r>
    </w:p>
    <w:p>
      <w:pPr>
        <w:spacing w:line="600" w:lineRule="exact"/>
        <w:ind w:firstLine="643" w:firstLineChars="200"/>
        <w:jc w:val="left"/>
        <w:rPr>
          <w:rFonts w:hint="eastAsia" w:ascii="仿宋" w:hAnsi="仿宋" w:eastAsia="仿宋" w:cs="仿宋"/>
          <w:b/>
          <w:bCs/>
          <w:sz w:val="28"/>
          <w:szCs w:val="28"/>
          <w:highlight w:val="none"/>
        </w:rPr>
      </w:pPr>
      <w:r>
        <w:rPr>
          <w:rFonts w:hint="eastAsia" w:ascii="仿宋_GB2312" w:hAnsi="仿宋_GB2312" w:eastAsia="仿宋_GB2312" w:cs="仿宋_GB2312"/>
          <w:b/>
          <w:bCs/>
          <w:sz w:val="32"/>
          <w:szCs w:val="32"/>
          <w:highlight w:val="none"/>
        </w:rPr>
        <w:t>服务小微：</w:t>
      </w:r>
      <w:r>
        <w:rPr>
          <w:rFonts w:hint="eastAsia" w:ascii="仿宋_GB2312" w:hAnsi="仿宋_GB2312" w:eastAsia="仿宋_GB2312" w:cs="仿宋_GB2312"/>
          <w:sz w:val="32"/>
          <w:szCs w:val="32"/>
          <w:highlight w:val="none"/>
        </w:rPr>
        <w:t>坚守定位不动摇，支持“小微、三农”发展。临清村行始终贯彻“坚守市场定位，强化普惠金融、深耕小微三农”的市场定位，以高质量发展为目标，加强小微企业经营类融资需求的支持力度，有效解决农村地区金融机构覆盖率低、金融供给不足、金融服务缺位等问题。截至202</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年末，小微企业贷款余额</w:t>
      </w:r>
      <w:r>
        <w:rPr>
          <w:rFonts w:hint="eastAsia" w:ascii="仿宋_GB2312" w:hAnsi="仿宋_GB2312" w:eastAsia="仿宋_GB2312" w:cs="仿宋_GB2312"/>
          <w:sz w:val="32"/>
          <w:szCs w:val="32"/>
          <w:highlight w:val="none"/>
          <w:lang w:val="en-US" w:eastAsia="zh-CN"/>
        </w:rPr>
        <w:t>73548.14</w:t>
      </w:r>
      <w:r>
        <w:rPr>
          <w:rFonts w:hint="eastAsia" w:ascii="仿宋_GB2312" w:hAnsi="仿宋_GB2312" w:eastAsia="仿宋_GB2312" w:cs="仿宋_GB2312"/>
          <w:sz w:val="32"/>
          <w:szCs w:val="32"/>
          <w:highlight w:val="none"/>
        </w:rPr>
        <w:t>万元，较年初增加</w:t>
      </w:r>
      <w:r>
        <w:rPr>
          <w:rFonts w:hint="eastAsia" w:ascii="仿宋_GB2312" w:hAnsi="仿宋_GB2312" w:eastAsia="仿宋_GB2312" w:cs="仿宋_GB2312"/>
          <w:sz w:val="32"/>
          <w:szCs w:val="32"/>
          <w:highlight w:val="none"/>
          <w:lang w:val="en-US" w:eastAsia="zh-CN"/>
        </w:rPr>
        <w:t>8555.68</w:t>
      </w:r>
      <w:r>
        <w:rPr>
          <w:rFonts w:hint="eastAsia" w:ascii="仿宋_GB2312" w:hAnsi="仿宋_GB2312" w:eastAsia="仿宋_GB2312" w:cs="仿宋_GB2312"/>
          <w:sz w:val="32"/>
          <w:szCs w:val="32"/>
          <w:highlight w:val="none"/>
        </w:rPr>
        <w:t>万元，增幅</w:t>
      </w:r>
      <w:r>
        <w:rPr>
          <w:rFonts w:hint="eastAsia" w:ascii="仿宋_GB2312" w:hAnsi="仿宋_GB2312" w:eastAsia="仿宋_GB2312" w:cs="仿宋_GB2312"/>
          <w:sz w:val="32"/>
          <w:szCs w:val="32"/>
          <w:highlight w:val="none"/>
          <w:lang w:val="en-US" w:eastAsia="zh-CN"/>
        </w:rPr>
        <w:t>13.16</w:t>
      </w:r>
      <w:r>
        <w:rPr>
          <w:rFonts w:hint="eastAsia" w:ascii="仿宋_GB2312" w:hAnsi="仿宋_GB2312" w:eastAsia="仿宋_GB2312" w:cs="仿宋_GB2312"/>
          <w:sz w:val="32"/>
          <w:szCs w:val="32"/>
          <w:highlight w:val="none"/>
        </w:rPr>
        <w:t>%；小微企业客户数</w:t>
      </w:r>
      <w:r>
        <w:rPr>
          <w:rFonts w:hint="eastAsia" w:ascii="仿宋_GB2312" w:hAnsi="仿宋_GB2312" w:eastAsia="仿宋_GB2312" w:cs="仿宋_GB2312"/>
          <w:sz w:val="32"/>
          <w:szCs w:val="32"/>
          <w:highlight w:val="none"/>
          <w:lang w:val="en-US" w:eastAsia="zh-CN"/>
        </w:rPr>
        <w:t>2895</w:t>
      </w:r>
      <w:r>
        <w:rPr>
          <w:rFonts w:hint="eastAsia" w:ascii="仿宋_GB2312" w:hAnsi="仿宋_GB2312" w:eastAsia="仿宋_GB2312" w:cs="仿宋_GB2312"/>
          <w:sz w:val="32"/>
          <w:szCs w:val="32"/>
          <w:highlight w:val="none"/>
        </w:rPr>
        <w:t>户，户均25.</w:t>
      </w:r>
      <w:r>
        <w:rPr>
          <w:rFonts w:hint="eastAsia" w:ascii="仿宋_GB2312" w:hAnsi="仿宋_GB2312" w:eastAsia="仿宋_GB2312" w:cs="仿宋_GB2312"/>
          <w:sz w:val="32"/>
          <w:szCs w:val="32"/>
          <w:highlight w:val="none"/>
          <w:lang w:val="en-US" w:eastAsia="zh-CN"/>
        </w:rPr>
        <w:t>41万</w:t>
      </w:r>
      <w:r>
        <w:rPr>
          <w:rFonts w:hint="eastAsia" w:ascii="仿宋_GB2312" w:hAnsi="仿宋_GB2312" w:eastAsia="仿宋_GB2312" w:cs="仿宋_GB2312"/>
          <w:sz w:val="32"/>
          <w:szCs w:val="32"/>
          <w:highlight w:val="none"/>
        </w:rPr>
        <w:t>元。</w:t>
      </w:r>
    </w:p>
    <w:tbl>
      <w:tblPr>
        <w:tblStyle w:val="12"/>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spacing w:line="600" w:lineRule="exact"/>
              <w:jc w:val="left"/>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指标名称</w:t>
            </w:r>
          </w:p>
        </w:tc>
        <w:tc>
          <w:tcPr>
            <w:tcW w:w="1134"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单位</w:t>
            </w:r>
          </w:p>
        </w:tc>
        <w:tc>
          <w:tcPr>
            <w:tcW w:w="1704"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202</w:t>
            </w:r>
            <w:r>
              <w:rPr>
                <w:rFonts w:hint="eastAsia" w:ascii="仿宋" w:hAnsi="仿宋" w:eastAsia="仿宋" w:cs="仿宋"/>
                <w:b/>
                <w:bCs/>
                <w:sz w:val="28"/>
                <w:szCs w:val="28"/>
                <w:highlight w:val="none"/>
                <w:lang w:val="en-US" w:eastAsia="zh-CN"/>
              </w:rPr>
              <w:t>5</w:t>
            </w:r>
            <w:r>
              <w:rPr>
                <w:rFonts w:hint="eastAsia" w:ascii="仿宋" w:hAnsi="仿宋" w:eastAsia="仿宋" w:cs="仿宋"/>
                <w:b/>
                <w:bCs/>
                <w:sz w:val="28"/>
                <w:szCs w:val="28"/>
                <w:highlight w:val="none"/>
              </w:rPr>
              <w:t>年</w:t>
            </w:r>
          </w:p>
        </w:tc>
        <w:tc>
          <w:tcPr>
            <w:tcW w:w="1705"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2024年</w:t>
            </w:r>
          </w:p>
        </w:tc>
        <w:tc>
          <w:tcPr>
            <w:tcW w:w="1705"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_GB2312" w:hAnsi="仿宋_GB2312" w:eastAsia="仿宋_GB2312" w:cs="仿宋_GB2312"/>
                <w:b/>
                <w:bCs/>
                <w:sz w:val="32"/>
                <w:szCs w:val="32"/>
                <w:highlight w:val="none"/>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left"/>
              <w:rPr>
                <w:rFonts w:hint="eastAsia" w:ascii="仿宋" w:hAnsi="仿宋" w:eastAsia="仿宋" w:cs="仿宋"/>
                <w:sz w:val="24"/>
                <w:highlight w:val="none"/>
              </w:rPr>
            </w:pPr>
            <w:r>
              <w:rPr>
                <w:rFonts w:hint="eastAsia" w:ascii="仿宋" w:hAnsi="仿宋" w:eastAsia="仿宋" w:cs="仿宋"/>
                <w:sz w:val="24"/>
                <w:highlight w:val="none"/>
              </w:rPr>
              <w:t>小微企业贷款余额</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70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73548.14</w:t>
            </w:r>
          </w:p>
        </w:tc>
        <w:tc>
          <w:tcPr>
            <w:tcW w:w="170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64992.46</w:t>
            </w:r>
          </w:p>
        </w:tc>
        <w:tc>
          <w:tcPr>
            <w:tcW w:w="170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55321.65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left"/>
              <w:rPr>
                <w:rFonts w:hint="eastAsia" w:ascii="仿宋" w:hAnsi="仿宋" w:eastAsia="仿宋" w:cs="仿宋"/>
                <w:sz w:val="24"/>
                <w:highlight w:val="none"/>
              </w:rPr>
            </w:pPr>
            <w:r>
              <w:rPr>
                <w:rFonts w:hint="eastAsia" w:ascii="仿宋" w:hAnsi="仿宋" w:eastAsia="仿宋" w:cs="仿宋"/>
                <w:sz w:val="24"/>
                <w:highlight w:val="none"/>
              </w:rPr>
              <w:t>小微企业贷款占比</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4" w:type="dxa"/>
            <w:vAlign w:val="center"/>
          </w:tcPr>
          <w:p>
            <w:pPr>
              <w:spacing w:line="6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71.46</w:t>
            </w:r>
          </w:p>
        </w:tc>
        <w:tc>
          <w:tcPr>
            <w:tcW w:w="170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64.62</w:t>
            </w:r>
          </w:p>
        </w:tc>
        <w:tc>
          <w:tcPr>
            <w:tcW w:w="170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left"/>
              <w:rPr>
                <w:rFonts w:hint="eastAsia" w:ascii="仿宋" w:hAnsi="仿宋" w:eastAsia="仿宋" w:cs="仿宋"/>
                <w:sz w:val="24"/>
                <w:highlight w:val="none"/>
              </w:rPr>
            </w:pPr>
            <w:r>
              <w:rPr>
                <w:rFonts w:hint="eastAsia" w:ascii="仿宋" w:hAnsi="仿宋" w:eastAsia="仿宋" w:cs="仿宋"/>
                <w:sz w:val="24"/>
                <w:highlight w:val="none"/>
              </w:rPr>
              <w:t>小微企业贷款客户数量</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户</w:t>
            </w:r>
          </w:p>
        </w:tc>
        <w:tc>
          <w:tcPr>
            <w:tcW w:w="1704" w:type="dxa"/>
            <w:vAlign w:val="center"/>
          </w:tcPr>
          <w:p>
            <w:pPr>
              <w:spacing w:line="6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2895</w:t>
            </w:r>
          </w:p>
        </w:tc>
        <w:tc>
          <w:tcPr>
            <w:tcW w:w="170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2544</w:t>
            </w:r>
          </w:p>
        </w:tc>
        <w:tc>
          <w:tcPr>
            <w:tcW w:w="170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2151</w:t>
            </w:r>
          </w:p>
        </w:tc>
      </w:tr>
    </w:tbl>
    <w:p>
      <w:pPr>
        <w:spacing w:line="600" w:lineRule="exact"/>
        <w:ind w:firstLine="562" w:firstLineChars="200"/>
        <w:rPr>
          <w:rFonts w:hint="eastAsia" w:ascii="仿宋" w:hAnsi="仿宋" w:eastAsia="仿宋" w:cs="仿宋"/>
          <w:sz w:val="28"/>
          <w:szCs w:val="28"/>
          <w:highlight w:val="none"/>
        </w:rPr>
      </w:pPr>
      <w:r>
        <w:rPr>
          <w:rFonts w:hint="eastAsia" w:ascii="仿宋" w:hAnsi="仿宋" w:eastAsia="仿宋" w:cs="仿宋"/>
          <w:b/>
          <w:bCs/>
          <w:sz w:val="28"/>
          <w:szCs w:val="28"/>
          <w:highlight w:val="none"/>
        </w:rPr>
        <w:t>优质服务：</w:t>
      </w:r>
      <w:r>
        <w:rPr>
          <w:rFonts w:hint="eastAsia" w:ascii="仿宋_GB2312" w:hAnsi="仿宋_GB2312" w:eastAsia="仿宋_GB2312" w:cs="仿宋_GB2312"/>
          <w:sz w:val="32"/>
          <w:szCs w:val="32"/>
          <w:highlight w:val="none"/>
        </w:rPr>
        <w:t>临清村行优化服务方式，推进普惠金融降价、提质，优化信贷流程，在风险可控的前提下，发挥临清村行“短、平、快”的审批优势，让客户更快的获得信贷支持，同时调整产品额度，将微小贷款投放作为贯穿信贷业务的主线，全力支持乡村振兴。</w:t>
      </w:r>
    </w:p>
    <w:p>
      <w:pPr>
        <w:spacing w:line="600" w:lineRule="exact"/>
        <w:ind w:firstLine="640" w:firstLineChars="200"/>
        <w:rPr>
          <w:rFonts w:hint="eastAsia" w:ascii="仿宋_GB2312" w:hAnsi="仿宋_GB2312" w:eastAsia="仿宋_GB2312" w:cs="仿宋_GB2312"/>
          <w:sz w:val="32"/>
          <w:szCs w:val="32"/>
          <w:highlight w:val="red"/>
        </w:rPr>
      </w:pPr>
      <w:r>
        <w:rPr>
          <w:rFonts w:hint="eastAsia" w:ascii="仿宋_GB2312" w:hAnsi="仿宋_GB2312" w:eastAsia="仿宋_GB2312" w:cs="仿宋_GB2312"/>
          <w:sz w:val="32"/>
          <w:szCs w:val="32"/>
          <w:highlight w:val="none"/>
        </w:rPr>
        <w:t>临清村行号召行内员工向农户和小微企业进行营销宣传，尤其是急需贷款资金周转的个体或商户。对于符合准入条件的对象，临清村行第一时间介入调研，快速审查审批，通过及时授信帮助客户渡过难关。其次，临清村行客户经理分区划片，在各乡镇开展网格化营销，主动对接农户及小微企业，加大授信。截至2025年末，临清村行小微企业贷款较年初增加8555.68万元，小微企业贷款户数较年初增加351户。</w:t>
      </w:r>
    </w:p>
    <w:p>
      <w:pPr>
        <w:spacing w:line="600" w:lineRule="exact"/>
        <w:jc w:val="left"/>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员工责任</w:t>
      </w:r>
    </w:p>
    <w:p>
      <w:pPr>
        <w:spacing w:line="600" w:lineRule="exact"/>
        <w:jc w:val="left"/>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以下指标可供参考。</w:t>
      </w:r>
    </w:p>
    <w:tbl>
      <w:tblPr>
        <w:tblStyle w:val="12"/>
        <w:tblW w:w="9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2"/>
        <w:gridCol w:w="1133"/>
        <w:gridCol w:w="1703"/>
        <w:gridCol w:w="1704"/>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指标名称</w:t>
            </w:r>
          </w:p>
        </w:tc>
        <w:tc>
          <w:tcPr>
            <w:tcW w:w="1134"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单位</w:t>
            </w:r>
          </w:p>
        </w:tc>
        <w:tc>
          <w:tcPr>
            <w:tcW w:w="1704"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202</w:t>
            </w:r>
            <w:r>
              <w:rPr>
                <w:rFonts w:hint="eastAsia" w:ascii="仿宋" w:hAnsi="仿宋" w:eastAsia="仿宋" w:cs="仿宋"/>
                <w:b/>
                <w:bCs/>
                <w:sz w:val="28"/>
                <w:szCs w:val="28"/>
                <w:highlight w:val="none"/>
                <w:lang w:val="en-US" w:eastAsia="zh-CN"/>
              </w:rPr>
              <w:t>5</w:t>
            </w:r>
            <w:r>
              <w:rPr>
                <w:rFonts w:hint="eastAsia" w:ascii="仿宋" w:hAnsi="仿宋" w:eastAsia="仿宋" w:cs="仿宋"/>
                <w:b/>
                <w:bCs/>
                <w:sz w:val="28"/>
                <w:szCs w:val="28"/>
                <w:highlight w:val="none"/>
              </w:rPr>
              <w:t>年</w:t>
            </w:r>
          </w:p>
        </w:tc>
        <w:tc>
          <w:tcPr>
            <w:tcW w:w="1705"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202</w:t>
            </w:r>
            <w:r>
              <w:rPr>
                <w:rFonts w:hint="eastAsia" w:ascii="仿宋" w:hAnsi="仿宋" w:eastAsia="仿宋" w:cs="仿宋"/>
                <w:b/>
                <w:bCs/>
                <w:sz w:val="28"/>
                <w:szCs w:val="28"/>
                <w:highlight w:val="none"/>
                <w:lang w:val="en-US" w:eastAsia="zh-CN"/>
              </w:rPr>
              <w:t>4</w:t>
            </w:r>
            <w:r>
              <w:rPr>
                <w:rFonts w:hint="eastAsia" w:ascii="仿宋" w:hAnsi="仿宋" w:eastAsia="仿宋" w:cs="仿宋"/>
                <w:b/>
                <w:bCs/>
                <w:sz w:val="28"/>
                <w:szCs w:val="28"/>
                <w:highlight w:val="none"/>
              </w:rPr>
              <w:t>年</w:t>
            </w:r>
          </w:p>
        </w:tc>
        <w:tc>
          <w:tcPr>
            <w:tcW w:w="1716" w:type="dxa"/>
            <w:shd w:val="clear" w:color="auto" w:fill="DEEBF6" w:themeFill="accent1" w:themeFillTint="32"/>
            <w:vAlign w:val="center"/>
          </w:tcPr>
          <w:p>
            <w:pPr>
              <w:spacing w:line="600" w:lineRule="exact"/>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202</w:t>
            </w: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员工总数</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人</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lang w:val="en-US" w:eastAsia="zh-CN"/>
              </w:rPr>
              <w:t>7</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68</w:t>
            </w:r>
          </w:p>
        </w:tc>
        <w:tc>
          <w:tcPr>
            <w:tcW w:w="1723"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女性员工占比</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52.24</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51.47</w:t>
            </w:r>
          </w:p>
        </w:tc>
        <w:tc>
          <w:tcPr>
            <w:tcW w:w="1723"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员工流失率</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1.47</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5.56</w:t>
            </w:r>
          </w:p>
        </w:tc>
        <w:tc>
          <w:tcPr>
            <w:tcW w:w="1723"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培训项目数</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场</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36</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15</w:t>
            </w:r>
          </w:p>
        </w:tc>
        <w:tc>
          <w:tcPr>
            <w:tcW w:w="1723"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培训人次</w:t>
            </w:r>
          </w:p>
        </w:tc>
        <w:tc>
          <w:tcPr>
            <w:tcW w:w="1134"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人次</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1290</w:t>
            </w:r>
          </w:p>
        </w:tc>
        <w:tc>
          <w:tcPr>
            <w:tcW w:w="1701"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650</w:t>
            </w:r>
          </w:p>
        </w:tc>
        <w:tc>
          <w:tcPr>
            <w:tcW w:w="1723" w:type="dxa"/>
            <w:vAlign w:val="center"/>
          </w:tcPr>
          <w:p>
            <w:pPr>
              <w:spacing w:line="600" w:lineRule="exact"/>
              <w:jc w:val="center"/>
              <w:rPr>
                <w:rFonts w:hint="eastAsia" w:ascii="仿宋" w:hAnsi="仿宋" w:eastAsia="仿宋" w:cs="仿宋"/>
                <w:sz w:val="24"/>
                <w:highlight w:val="none"/>
              </w:rPr>
            </w:pPr>
            <w:r>
              <w:rPr>
                <w:rFonts w:hint="eastAsia" w:ascii="仿宋" w:hAnsi="仿宋" w:eastAsia="仿宋" w:cs="仿宋"/>
                <w:sz w:val="24"/>
                <w:highlight w:val="none"/>
              </w:rPr>
              <w:t>240</w:t>
            </w:r>
          </w:p>
        </w:tc>
      </w:tr>
    </w:tbl>
    <w:p>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临清村行具备一套完整的管理体系，建立了完善的考核体系。按时足额发放劳动报酬，并为职工提供安全健康的工作环境，加强劳动保护，积极预防职业病。建立了职工的职业教育和岗位培训制度，不断提高职工的素质和能力。</w:t>
      </w:r>
    </w:p>
    <w:p>
      <w:pPr>
        <w:spacing w:line="600" w:lineRule="exact"/>
        <w:ind w:firstLine="640" w:firstLineChars="200"/>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sz w:val="32"/>
          <w:szCs w:val="32"/>
          <w:highlight w:val="none"/>
        </w:rPr>
        <w:t>为践行“以人为本”的发展理念，临清村行每年积极组织开展员工健康体检活动，主发起行牵头缴纳的额外医疗保险，解除了员工的后顾之忧，此项福利也优于本地其他单位，每两年量制工装。临清村行工会委员会每年中秋节、端午节、春节等传统节日向员工发放福利，员工生日送上的生日蛋糕，让广大员工切实感受到临清村行大家庭的温暖，进一步提高了员工的向心力和归属感，增强了临清村行的凝聚力。</w:t>
      </w:r>
      <w:r>
        <w:rPr>
          <w:rFonts w:hint="eastAsia" w:ascii="仿宋_GB2312" w:hAnsi="仿宋_GB2312" w:eastAsia="仿宋_GB2312" w:cs="仿宋_GB2312"/>
          <w:b/>
          <w:bCs/>
          <w:sz w:val="32"/>
          <w:szCs w:val="32"/>
          <w:highlight w:val="none"/>
        </w:rPr>
        <w:t>金融教育责任</w:t>
      </w:r>
    </w:p>
    <w:p>
      <w:pPr>
        <w:keepNext w:val="0"/>
        <w:keepLines w:val="0"/>
        <w:pageBreakBefore w:val="0"/>
        <w:widowControl/>
        <w:kinsoku/>
        <w:wordWrap/>
        <w:overflowPunct/>
        <w:topLinePunct w:val="0"/>
        <w:autoSpaceDE/>
        <w:autoSpaceDN/>
        <w:bidi w:val="0"/>
        <w:adjustRightInd/>
        <w:snapToGrid/>
        <w:spacing w:line="576" w:lineRule="exact"/>
        <w:ind w:firstLine="640" w:firstLineChars="200"/>
        <w:jc w:val="left"/>
        <w:textAlignment w:val="auto"/>
        <w:rPr>
          <w:rFonts w:hint="eastAsia" w:ascii="仿宋" w:hAnsi="仿宋" w:eastAsia="仿宋" w:cs="仿宋"/>
          <w:b/>
          <w:bCs/>
          <w:sz w:val="28"/>
          <w:szCs w:val="28"/>
          <w:highlight w:val="none"/>
        </w:rPr>
      </w:pPr>
      <w:r>
        <w:rPr>
          <w:rFonts w:hint="eastAsia" w:ascii="仿宋_GB2312" w:hAnsi="仿宋_GB2312" w:eastAsia="仿宋_GB2312" w:cs="仿宋_GB2312"/>
          <w:sz w:val="32"/>
          <w:szCs w:val="32"/>
          <w:highlight w:val="none"/>
        </w:rPr>
        <w:t>2025年度，临清沪农商村镇银行持续加大公众金融教育投入力度，全年累</w:t>
      </w:r>
      <w:r>
        <w:rPr>
          <w:rFonts w:hint="eastAsia" w:ascii="仿宋_GB2312" w:hAnsi="仿宋_GB2312" w:eastAsia="仿宋_GB2312" w:cs="仿宋_GB2312"/>
          <w:color w:val="auto"/>
          <w:sz w:val="32"/>
          <w:szCs w:val="32"/>
          <w:highlight w:val="none"/>
        </w:rPr>
        <w:t>计投</w:t>
      </w:r>
      <w:r>
        <w:rPr>
          <w:rFonts w:hint="eastAsia" w:ascii="仿宋_GB2312" w:hAnsi="仿宋_GB2312" w:eastAsia="仿宋_GB2312" w:cs="仿宋_GB2312"/>
          <w:sz w:val="32"/>
          <w:szCs w:val="32"/>
          <w:highlight w:val="none"/>
        </w:rPr>
        <w:t>入资金</w:t>
      </w:r>
      <w:r>
        <w:rPr>
          <w:rFonts w:hint="eastAsia" w:ascii="仿宋_GB2312" w:hAnsi="仿宋_GB2312" w:eastAsia="仿宋_GB2312" w:cs="仿宋_GB2312"/>
          <w:sz w:val="32"/>
          <w:szCs w:val="32"/>
          <w:highlight w:val="none"/>
          <w:lang w:val="en-US" w:eastAsia="zh-CN"/>
        </w:rPr>
        <w:t>7.31</w:t>
      </w:r>
      <w:r>
        <w:rPr>
          <w:rFonts w:hint="eastAsia" w:ascii="仿宋_GB2312" w:hAnsi="仿宋_GB2312" w:eastAsia="仿宋_GB2312" w:cs="仿宋_GB2312"/>
          <w:sz w:val="32"/>
          <w:szCs w:val="32"/>
          <w:highlight w:val="none"/>
        </w:rPr>
        <w:t>万元，服务金融消费者8500余人次，扎实推进金融知识普及与风险防范宣传工作。</w:t>
      </w:r>
      <w:r>
        <w:rPr>
          <w:rFonts w:hint="eastAsia" w:ascii="仿宋_GB2312" w:hAnsi="Times New Roman" w:eastAsia="仿宋_GB2312" w:cs="Times New Roman"/>
          <w:sz w:val="32"/>
          <w:szCs w:val="32"/>
          <w:highlight w:val="none"/>
          <w:lang w:val="en-US" w:eastAsia="zh-CN"/>
        </w:rPr>
        <w:t>临清村行</w:t>
      </w:r>
      <w:r>
        <w:rPr>
          <w:rFonts w:hint="eastAsia" w:ascii="仿宋_GB2312" w:hAnsi="仿宋_GB2312" w:eastAsia="仿宋_GB2312" w:cs="仿宋_GB2312"/>
          <w:sz w:val="32"/>
          <w:szCs w:val="32"/>
          <w:highlight w:val="none"/>
        </w:rPr>
        <w:t>充分发挥营业网点主阵地作用，通过厅堂电视、LED屏滚动播放金融知识宣教内容，设置常态化宣传专区，摆放宣传折页、张贴主题海报、循环播放宣教视频，营造全方位、常态化宣教氛围；聚焦防范电信网络诈骗、抵制高息诱惑、远离非法金融活动等重点领域，常态化开展系列金融知识普及活动。针对老年人、青少年、农民工等重点群体，精准开展专题宣教活动，通过案例讲解、现场答疑、互动宣讲等形式，细致传授反诈技巧与风险防范方法，切实提升特殊群体风险识别与自我保护能力。同时，坚持线上线下协同发力，线下结合业务拓展、社区走访、外拓服务同步开展金融知识宣讲；线上依托微信公众号、客户服务群等渠道，重点普及人民币反假、网络支付安全、征信管理、反诈防骗等知识，推动金融知识普及与业务发展深度融合，有效提升社会公众金融素养与风险防范意识，筑牢金融安全防线。</w:t>
      </w:r>
    </w:p>
    <w:p>
      <w:pPr>
        <w:spacing w:line="600" w:lineRule="exact"/>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爱心公益责任</w:t>
      </w:r>
    </w:p>
    <w:p>
      <w:pPr>
        <w:keepNext w:val="0"/>
        <w:keepLines w:val="0"/>
        <w:pageBreakBefore w:val="0"/>
        <w:widowControl/>
        <w:kinsoku/>
        <w:wordWrap/>
        <w:overflowPunct/>
        <w:topLinePunct w:val="0"/>
        <w:autoSpaceDE/>
        <w:autoSpaceDN/>
        <w:bidi w:val="0"/>
        <w:adjustRightInd/>
        <w:snapToGrid/>
        <w:spacing w:line="576"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临清村行在“3月5日学雷锋纪念日”来临之际，结合聊城市委宣传部安排，在临清市运河文化广场开展了“学雷锋志愿服务暨防范非法集资宣传”主题活动，以金融知识普及践行雷锋精神，筑牢群众财产安全防线，传递金融为民的暖心力量。志愿服务办实事，金融知识送上门。3月4日活动当天，</w:t>
      </w:r>
      <w:r>
        <w:rPr>
          <w:rFonts w:hint="eastAsia" w:ascii="仿宋_GB2312" w:hAnsi="仿宋_GB2312" w:eastAsia="仿宋_GB2312" w:cs="仿宋_GB2312"/>
          <w:sz w:val="32"/>
          <w:szCs w:val="32"/>
          <w:highlight w:val="none"/>
          <w:lang w:val="en-US" w:eastAsia="zh-CN"/>
        </w:rPr>
        <w:t>临清村行</w:t>
      </w:r>
      <w:r>
        <w:rPr>
          <w:rFonts w:hint="eastAsia" w:ascii="仿宋_GB2312" w:hAnsi="仿宋_GB2312" w:eastAsia="仿宋_GB2312" w:cs="仿宋_GB2312"/>
          <w:sz w:val="32"/>
          <w:szCs w:val="32"/>
          <w:highlight w:val="none"/>
        </w:rPr>
        <w:t>志愿者在临清广场设立便民服务台，通过发放宣传手册、案例讲解、互动问答等形式，向居民普及非法集资的常见套路、社会危害及防范技巧。志愿者们结合近期高发的“虚拟货币投资”“高息返利”等诈骗案例，用通俗易懂的语言揭露非法集资的伪装手段，提醒群众警惕“保本高收益”陷阱，守住“钱袋子”。针对老年群体，</w:t>
      </w:r>
      <w:r>
        <w:rPr>
          <w:rFonts w:hint="eastAsia" w:ascii="仿宋_GB2312" w:hAnsi="仿宋_GB2312" w:eastAsia="仿宋_GB2312" w:cs="仿宋_GB2312"/>
          <w:sz w:val="32"/>
          <w:szCs w:val="32"/>
          <w:highlight w:val="none"/>
          <w:lang w:val="en-US" w:eastAsia="zh-CN"/>
        </w:rPr>
        <w:t>临清村行</w:t>
      </w:r>
      <w:r>
        <w:rPr>
          <w:rFonts w:hint="eastAsia" w:ascii="仿宋_GB2312" w:hAnsi="仿宋_GB2312" w:eastAsia="仿宋_GB2312" w:cs="仿宋_GB2312"/>
          <w:sz w:val="32"/>
          <w:szCs w:val="32"/>
          <w:highlight w:val="none"/>
        </w:rPr>
        <w:t>志愿者们耐心演示如何识别可疑转账、查询正规金融产品，并协助群众下载国家反诈中心APP，获得一致好评。</w:t>
      </w:r>
    </w:p>
    <w:p>
      <w:pPr>
        <w:keepNext w:val="0"/>
        <w:keepLines w:val="0"/>
        <w:pageBreakBefore w:val="0"/>
        <w:widowControl/>
        <w:kinsoku/>
        <w:wordWrap/>
        <w:overflowPunct/>
        <w:topLinePunct w:val="0"/>
        <w:autoSpaceDE/>
        <w:autoSpaceDN/>
        <w:bidi w:val="0"/>
        <w:adjustRightInd/>
        <w:snapToGrid/>
        <w:spacing w:line="576"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立足专业担使命，筑牢安全防护网。“当前非法集资案件频发，尤其是老年人容易成为目标。作为金融机构，我们既要做好风险防控，更要主动履行社会责任，帮助群众提升防范意识。”临清沪农商村镇银行消保部门负责人表示，近年来，</w:t>
      </w:r>
      <w:r>
        <w:rPr>
          <w:rFonts w:hint="eastAsia" w:ascii="仿宋_GB2312" w:hAnsi="仿宋_GB2312" w:eastAsia="仿宋_GB2312" w:cs="仿宋_GB2312"/>
          <w:sz w:val="32"/>
          <w:szCs w:val="32"/>
          <w:highlight w:val="none"/>
          <w:lang w:val="en-US" w:eastAsia="zh-CN"/>
        </w:rPr>
        <w:t>临清村行</w:t>
      </w:r>
      <w:r>
        <w:rPr>
          <w:rFonts w:hint="eastAsia" w:ascii="仿宋_GB2312" w:hAnsi="仿宋_GB2312" w:eastAsia="仿宋_GB2312" w:cs="仿宋_GB2312"/>
          <w:sz w:val="32"/>
          <w:szCs w:val="32"/>
          <w:highlight w:val="none"/>
        </w:rPr>
        <w:t>以“学雷锋志愿服务”为载体，持续开展金融知识“进社区、进乡村、进企业”活动，通过线上线下结合的方式，累计举办消保相关讲座10余场，覆盖群众广泛。同时，依托网点阵地设立“金融宣教专区”，常态化提供咨询服务和风险提示，织密金融安全防护网。</w:t>
      </w:r>
    </w:p>
    <w:p>
      <w:pPr>
        <w:ind w:firstLine="643" w:firstLineChars="200"/>
        <w:jc w:val="center"/>
        <w:rPr>
          <w:rFonts w:hint="eastAsia" w:ascii="仿宋_GB2312" w:hAnsi="仿宋_GB2312" w:eastAsia="仿宋_GB2312" w:cs="仿宋_GB2312"/>
          <w:b/>
          <w:bCs/>
          <w:sz w:val="32"/>
          <w:szCs w:val="32"/>
          <w:highlight w:val="none"/>
        </w:rPr>
      </w:pPr>
    </w:p>
    <w:p>
      <w:pPr>
        <w:ind w:firstLine="643" w:firstLineChars="200"/>
        <w:jc w:val="center"/>
        <w:rPr>
          <w:rFonts w:hint="eastAsia" w:ascii="仿宋_GB2312" w:hAnsi="仿宋_GB2312" w:eastAsia="仿宋_GB2312" w:cs="仿宋_GB2312"/>
          <w:b/>
          <w:bCs/>
          <w:sz w:val="32"/>
          <w:szCs w:val="32"/>
          <w:highlight w:val="none"/>
        </w:rPr>
      </w:pPr>
    </w:p>
    <w:p>
      <w:pPr>
        <w:ind w:firstLine="643" w:firstLineChars="200"/>
        <w:jc w:val="center"/>
        <w:rPr>
          <w:rFonts w:hint="eastAsia" w:ascii="仿宋_GB2312" w:hAnsi="仿宋_GB2312" w:eastAsia="仿宋_GB2312" w:cs="仿宋_GB2312"/>
          <w:b/>
          <w:bCs/>
          <w:sz w:val="32"/>
          <w:szCs w:val="32"/>
        </w:rPr>
      </w:pPr>
    </w:p>
    <w:p>
      <w:pPr>
        <w:ind w:firstLine="643" w:firstLineChars="200"/>
        <w:jc w:val="center"/>
        <w:rPr>
          <w:rFonts w:hint="eastAsia" w:ascii="仿宋_GB2312" w:hAnsi="仿宋_GB2312" w:eastAsia="仿宋_GB2312" w:cs="仿宋_GB2312"/>
          <w:b/>
          <w:bCs/>
          <w:sz w:val="32"/>
          <w:szCs w:val="32"/>
        </w:rPr>
      </w:pPr>
    </w:p>
    <w:p>
      <w:pPr>
        <w:ind w:firstLine="643" w:firstLineChars="200"/>
        <w:jc w:val="center"/>
        <w:rPr>
          <w:rFonts w:hint="eastAsia" w:ascii="仿宋_GB2312" w:hAnsi="仿宋_GB2312" w:eastAsia="仿宋_GB2312" w:cs="仿宋_GB2312"/>
          <w:b/>
          <w:bCs/>
          <w:sz w:val="32"/>
          <w:szCs w:val="32"/>
        </w:rPr>
      </w:pPr>
    </w:p>
    <w:p>
      <w:pPr>
        <w:ind w:firstLine="643" w:firstLineChars="200"/>
        <w:jc w:val="center"/>
        <w:rPr>
          <w:rFonts w:hint="eastAsia" w:ascii="仿宋_GB2312" w:hAnsi="仿宋_GB2312" w:eastAsia="仿宋_GB2312" w:cs="仿宋_GB2312"/>
          <w:b/>
          <w:bCs/>
          <w:sz w:val="32"/>
          <w:szCs w:val="32"/>
        </w:rPr>
      </w:pPr>
    </w:p>
    <w:p>
      <w:pPr>
        <w:ind w:firstLine="0" w:firstLineChars="0"/>
        <w:jc w:val="both"/>
        <w:rPr>
          <w:rFonts w:hint="eastAsia" w:ascii="仿宋_GB2312" w:hAnsi="仿宋_GB2312" w:eastAsia="仿宋_GB2312" w:cs="仿宋_GB2312"/>
          <w:b/>
          <w:bCs/>
          <w:sz w:val="32"/>
          <w:szCs w:val="32"/>
        </w:rPr>
      </w:pPr>
    </w:p>
    <w:p>
      <w:pPr>
        <w:ind w:firstLine="420" w:firstLineChars="200"/>
        <w:jc w:val="center"/>
        <w:rPr>
          <w:rFonts w:hint="eastAsia" w:ascii="仿宋_GB2312" w:hAnsi="仿宋_GB2312" w:eastAsia="仿宋_GB2312" w:cs="仿宋_GB2312"/>
          <w:b/>
          <w:bCs/>
          <w:sz w:val="32"/>
          <w:szCs w:val="32"/>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333375</wp:posOffset>
            </wp:positionH>
            <wp:positionV relativeFrom="page">
              <wp:posOffset>470535</wp:posOffset>
            </wp:positionV>
            <wp:extent cx="4609465" cy="3006725"/>
            <wp:effectExtent l="0" t="0" r="635" b="3175"/>
            <wp:wrapTopAndBottom/>
            <wp:docPr id="14" name="图片 14" descr="图片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1 (2)"/>
                    <pic:cNvPicPr>
                      <a:picLocks noChangeAspect="1"/>
                    </pic:cNvPicPr>
                  </pic:nvPicPr>
                  <pic:blipFill>
                    <a:blip r:embed="rId11"/>
                    <a:stretch>
                      <a:fillRect/>
                    </a:stretch>
                  </pic:blipFill>
                  <pic:spPr>
                    <a:xfrm>
                      <a:off x="0" y="0"/>
                      <a:ext cx="4609465" cy="3006725"/>
                    </a:xfrm>
                    <a:prstGeom prst="rect">
                      <a:avLst/>
                    </a:prstGeom>
                  </pic:spPr>
                </pic:pic>
              </a:graphicData>
            </a:graphic>
          </wp:anchor>
        </w:drawing>
      </w:r>
      <w:r>
        <w:rPr>
          <w:rFonts w:hint="eastAsia" w:ascii="仿宋_GB2312" w:hAnsi="仿宋_GB2312" w:eastAsia="仿宋_GB2312" w:cs="仿宋_GB2312"/>
          <w:b/>
          <w:bCs/>
          <w:sz w:val="32"/>
          <w:szCs w:val="32"/>
        </w:rPr>
        <w:t>第五节  环境信息披露</w:t>
      </w:r>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为贯彻落实国家绿色发展理念，推动绿色金融发展，临清沪农商村镇银行积极响应国家政策，践行社会责任，致力于通过金融手段支持环境保护和可持续发展。</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内部环境管理</w:t>
      </w:r>
    </w:p>
    <w:p>
      <w:pPr>
        <w:ind w:firstLine="640" w:firstLineChars="200"/>
        <w:jc w:val="left"/>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1.节能减排</w:t>
      </w:r>
    </w:p>
    <w:p>
      <w:pPr>
        <w:ind w:firstLine="640" w:firstLineChars="200"/>
        <w:jc w:val="left"/>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一是推行无纸化办公，</w:t>
      </w:r>
      <w:r>
        <w:rPr>
          <w:rFonts w:hint="eastAsia" w:ascii="仿宋_GB2312" w:hAnsi="Times New Roman" w:eastAsia="仿宋_GB2312" w:cs="Times New Roman"/>
          <w:sz w:val="32"/>
          <w:szCs w:val="32"/>
          <w:highlight w:val="none"/>
          <w:lang w:val="en-US" w:eastAsia="zh-CN"/>
        </w:rPr>
        <w:t>减少纸质文件使用，提高工作效率，降低办公成本</w:t>
      </w:r>
      <w:r>
        <w:rPr>
          <w:rFonts w:hint="eastAsia" w:ascii="仿宋_GB2312" w:hAnsi="Times New Roman" w:eastAsia="仿宋_GB2312" w:cs="Times New Roman"/>
          <w:sz w:val="32"/>
          <w:szCs w:val="32"/>
          <w:highlight w:val="none"/>
        </w:rPr>
        <w:t>；二是优化办公设备能耗管理，</w:t>
      </w:r>
      <w:r>
        <w:rPr>
          <w:rFonts w:hint="eastAsia" w:ascii="仿宋_GB2312" w:hAnsi="Times New Roman" w:eastAsia="仿宋_GB2312" w:cs="Times New Roman"/>
          <w:sz w:val="32"/>
          <w:szCs w:val="32"/>
          <w:highlight w:val="none"/>
          <w:lang w:val="en-US" w:eastAsia="zh-CN"/>
        </w:rPr>
        <w:t>按需开关节约用电，减少浪费降低成本</w:t>
      </w:r>
      <w:r>
        <w:rPr>
          <w:rFonts w:hint="eastAsia" w:ascii="仿宋_GB2312" w:hAnsi="Times New Roman" w:eastAsia="仿宋_GB2312" w:cs="Times New Roman"/>
          <w:sz w:val="32"/>
          <w:szCs w:val="32"/>
          <w:highlight w:val="none"/>
        </w:rPr>
        <w:t>；三是倡导员工绿色出行，鼓励使用公共交通工具或新能源汽车。</w:t>
      </w:r>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2. 绿色办公</w:t>
      </w:r>
    </w:p>
    <w:p>
      <w:pPr>
        <w:ind w:firstLine="640" w:firstLineChars="200"/>
        <w:jc w:val="left"/>
        <w:rPr>
          <w:rFonts w:hint="eastAsia" w:ascii="仿宋_GB2312" w:hAnsi="仿宋_GB2312" w:eastAsia="仿宋_GB2312" w:cs="仿宋_GB2312"/>
          <w:b/>
          <w:bCs/>
          <w:sz w:val="32"/>
          <w:szCs w:val="32"/>
          <w:highlight w:val="none"/>
        </w:rPr>
      </w:pPr>
      <w:r>
        <w:rPr>
          <w:rFonts w:hint="eastAsia" w:ascii="仿宋_GB2312" w:hAnsi="Times New Roman" w:eastAsia="仿宋_GB2312" w:cs="Times New Roman"/>
          <w:sz w:val="32"/>
          <w:szCs w:val="32"/>
        </w:rPr>
        <w:t>一是要求员工进行垃圾分类，提高资源回收利用率；二</w:t>
      </w:r>
      <w:r>
        <w:rPr>
          <w:rFonts w:hint="eastAsia" w:ascii="仿宋_GB2312" w:hAnsi="Times New Roman" w:eastAsia="仿宋_GB2312" w:cs="Times New Roman"/>
          <w:sz w:val="32"/>
          <w:szCs w:val="32"/>
          <w:highlight w:val="none"/>
        </w:rPr>
        <w:t>是推广电子化会议系统，减少差旅产生的碳排放。</w:t>
      </w:r>
    </w:p>
    <w:p>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社会环境责任</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lang w:val="en-US" w:eastAsia="zh-CN"/>
        </w:rPr>
        <w:t>临清村行始终坚守金融为民初心，积极践行社会责任，主动融入地方发展、服务民生需求。在社会公益与环境责任方面，积极响应季节天气变化与城市文明建设号召，组织员工开展义务除雪清障行动，及时清理营业网点周边及重点路段积雪积冰，保障群众出行安全与道路畅通，以实际行动守护城市环境、传递温暖力量。同时，常态化组建志愿服务队，在上下班高峰时段、交通拥堵路段开展文明交通引导志愿服务，协助疏导车流人流、劝导不文明交通行为、维护路口通行秩序，助力提升城市交通文明水平，展现村镇银行员工良好精神风貌与责任担当，为构建安全、有序、和谐的社会环境贡献金融力量。</w:t>
      </w:r>
      <w:r>
        <w:rPr>
          <w:rFonts w:hint="eastAsia" w:ascii="仿宋_GB2312" w:hAnsi="Times New Roman" w:eastAsia="仿宋_GB2312" w:cs="Times New Roman"/>
          <w:sz w:val="32"/>
          <w:szCs w:val="32"/>
          <w:highlight w:val="lightGray"/>
          <w:lang w:eastAsia="zh-CN"/>
        </w:rPr>
        <w:drawing>
          <wp:anchor distT="0" distB="0" distL="114300" distR="114300" simplePos="0" relativeHeight="251661312" behindDoc="0" locked="0" layoutInCell="1" allowOverlap="1">
            <wp:simplePos x="0" y="0"/>
            <wp:positionH relativeFrom="column">
              <wp:posOffset>2978785</wp:posOffset>
            </wp:positionH>
            <wp:positionV relativeFrom="page">
              <wp:posOffset>4584700</wp:posOffset>
            </wp:positionV>
            <wp:extent cx="2668905" cy="2552700"/>
            <wp:effectExtent l="0" t="0" r="17145" b="0"/>
            <wp:wrapTopAndBottom/>
            <wp:docPr id="22" name="图片 22" descr="1542776722334851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427767223348510926"/>
                    <pic:cNvPicPr>
                      <a:picLocks noChangeAspect="1"/>
                    </pic:cNvPicPr>
                  </pic:nvPicPr>
                  <pic:blipFill>
                    <a:blip r:embed="rId12"/>
                    <a:stretch>
                      <a:fillRect/>
                    </a:stretch>
                  </pic:blipFill>
                  <pic:spPr>
                    <a:xfrm>
                      <a:off x="0" y="0"/>
                      <a:ext cx="2668905" cy="2552700"/>
                    </a:xfrm>
                    <a:prstGeom prst="rect">
                      <a:avLst/>
                    </a:prstGeom>
                  </pic:spPr>
                </pic:pic>
              </a:graphicData>
            </a:graphic>
          </wp:anchor>
        </w:drawing>
      </w:r>
      <w:r>
        <w:rPr>
          <w:rFonts w:hint="eastAsia" w:ascii="仿宋_GB2312" w:hAnsi="Times New Roman" w:eastAsia="仿宋_GB2312" w:cs="Times New Roman"/>
          <w:sz w:val="32"/>
          <w:szCs w:val="32"/>
          <w:highlight w:val="lightGray"/>
          <w:lang w:eastAsia="zh-CN"/>
        </w:rPr>
        <w:drawing>
          <wp:anchor distT="0" distB="0" distL="114300" distR="114300" simplePos="0" relativeHeight="251660288" behindDoc="0" locked="0" layoutInCell="1" allowOverlap="1">
            <wp:simplePos x="0" y="0"/>
            <wp:positionH relativeFrom="column">
              <wp:posOffset>-41275</wp:posOffset>
            </wp:positionH>
            <wp:positionV relativeFrom="page">
              <wp:posOffset>4594225</wp:posOffset>
            </wp:positionV>
            <wp:extent cx="2959100" cy="2560320"/>
            <wp:effectExtent l="0" t="0" r="12700" b="11430"/>
            <wp:wrapTopAndBottom/>
            <wp:docPr id="15" name="图片 15" descr="1046202850706881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0462028507068815698"/>
                    <pic:cNvPicPr>
                      <a:picLocks noChangeAspect="1"/>
                    </pic:cNvPicPr>
                  </pic:nvPicPr>
                  <pic:blipFill>
                    <a:blip r:embed="rId13"/>
                    <a:stretch>
                      <a:fillRect/>
                    </a:stretch>
                  </pic:blipFill>
                  <pic:spPr>
                    <a:xfrm>
                      <a:off x="0" y="0"/>
                      <a:ext cx="2959100" cy="25603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both"/>
        <w:textAlignment w:val="auto"/>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临清沪农商村镇银行常态化组织员工深入社区开展金融知识普及宣传，面向居民开展反诈、征信、支付安全等金融知识讲解与业务咨询服务，切实提升群众金融素养与风险防范能力，助力居民合理运用金融工具、守护家庭财产安全、实现稳健发展。</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各类志愿服务与公益行动，有效提升了社区居民的文明意识、金融素养与安全意识，进一步增强了社区凝聚力与归属感。</w:t>
      </w:r>
      <w:r>
        <w:rPr>
          <w:rFonts w:hint="eastAsia" w:ascii="仿宋_GB2312" w:hAnsi="Times New Roman" w:eastAsia="仿宋_GB2312" w:cs="Times New Roman"/>
          <w:sz w:val="32"/>
          <w:szCs w:val="32"/>
          <w:highlight w:val="none"/>
          <w:lang w:val="en-US" w:eastAsia="zh-CN"/>
        </w:rPr>
        <w:t>临清村行</w:t>
      </w:r>
      <w:r>
        <w:rPr>
          <w:rFonts w:hint="eastAsia" w:ascii="仿宋_GB2312" w:hAnsi="Times New Roman" w:eastAsia="仿宋_GB2312" w:cs="Times New Roman"/>
          <w:sz w:val="32"/>
          <w:szCs w:val="32"/>
          <w:highlight w:val="none"/>
        </w:rPr>
        <w:t>始终坚守“服务三农、支持小微、赋能地方”的经营宗旨，以务实举措践行社会责任，用心用情为群众办实事、解难题。</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center"/>
        <w:textAlignment w:val="auto"/>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持续开展的公益服务，有效改善了社区环境面貌、提升了居民金融认知与文明素养，同时树立了银行负责任、有温</w:t>
      </w:r>
    </w:p>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度的良好形象，深化了银社互动与互信合作，构建起和谐融洽的银民关系。</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center"/>
        <w:textAlignment w:val="auto"/>
        <w:rPr>
          <w:rFonts w:hint="eastAsia"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未来，临清沪农商村镇银行将持续深耕公益事业、厚植责任情怀，以实际行动回馈社会，全力助力乡村振兴与地方</w:t>
      </w:r>
    </w:p>
    <w:p>
      <w:pPr>
        <w:spacing w:line="576" w:lineRule="exact"/>
        <w:rPr>
          <w:rFonts w:hint="eastAsia" w:ascii="仿宋_GB2312" w:hAnsi="仿宋_GB2312" w:eastAsia="仿宋_GB2312" w:cs="仿宋_GB2312"/>
          <w:b/>
          <w:bCs/>
          <w:sz w:val="32"/>
          <w:szCs w:val="32"/>
          <w:highlight w:val="none"/>
        </w:rPr>
      </w:pPr>
      <w:r>
        <w:rPr>
          <w:rFonts w:hint="eastAsia" w:ascii="仿宋_GB2312" w:hAnsi="Times New Roman" w:eastAsia="仿宋_GB2312" w:cs="Times New Roman"/>
          <w:sz w:val="32"/>
          <w:szCs w:val="32"/>
          <w:highlight w:val="none"/>
        </w:rPr>
        <w:t>经济社会高质量发展。</w:t>
      </w:r>
    </w:p>
    <w:p>
      <w:pPr>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第六节  责任展望</w:t>
      </w:r>
    </w:p>
    <w:p>
      <w:pPr>
        <w:spacing w:line="576" w:lineRule="exact"/>
        <w:ind w:firstLine="640" w:firstLineChars="200"/>
        <w:rPr>
          <w:rFonts w:hint="eastAsia" w:ascii="仿宋" w:hAnsi="仿宋" w:eastAsia="仿宋" w:cs="仿宋"/>
          <w:b/>
          <w:bCs/>
          <w:sz w:val="28"/>
          <w:szCs w:val="28"/>
        </w:rPr>
      </w:pPr>
      <w:r>
        <w:rPr>
          <w:rFonts w:hint="eastAsia" w:ascii="仿宋_GB2312" w:eastAsia="仿宋_GB2312" w:hAnsiTheme="minorEastAsia"/>
          <w:color w:val="000000" w:themeColor="text1"/>
          <w:sz w:val="32"/>
          <w:szCs w:val="32"/>
          <w14:textFill>
            <w14:solidFill>
              <w14:schemeClr w14:val="tx1"/>
            </w14:solidFill>
          </w14:textFill>
        </w:rPr>
        <w:t>临清村行以打造一家服务高效、资产优良、管理规范、特色鲜明的村镇银行为愿景，坚持以创新的服务理念和良好的职业操守，更好的服务于实体、服务于城乡，</w:t>
      </w:r>
      <w:r>
        <w:rPr>
          <w:rFonts w:ascii="仿宋_GB2312" w:hAnsi="仿宋_GB2312" w:eastAsia="仿宋_GB2312" w:cs="Times New Roman"/>
          <w:sz w:val="32"/>
          <w:szCs w:val="20"/>
        </w:rPr>
        <w:t>全面推动各项业务稳健快速发展，大力提升综合竞争能力。</w:t>
      </w:r>
      <w:r>
        <w:rPr>
          <w:rFonts w:hint="eastAsia" w:ascii="仿宋_GB2312" w:hAnsi="仿宋_GB2312" w:eastAsia="仿宋_GB2312" w:cs="Times New Roman"/>
          <w:sz w:val="32"/>
          <w:szCs w:val="20"/>
        </w:rPr>
        <w:t>202</w:t>
      </w:r>
      <w:r>
        <w:rPr>
          <w:rFonts w:hint="eastAsia" w:ascii="仿宋_GB2312" w:hAnsi="仿宋_GB2312" w:eastAsia="仿宋_GB2312" w:cs="Times New Roman"/>
          <w:sz w:val="32"/>
          <w:szCs w:val="20"/>
          <w:lang w:val="en-US" w:eastAsia="zh-CN"/>
        </w:rPr>
        <w:t>6</w:t>
      </w:r>
      <w:r>
        <w:rPr>
          <w:rFonts w:hint="eastAsia" w:ascii="仿宋_GB2312" w:hAnsi="仿宋_GB2312" w:eastAsia="仿宋_GB2312" w:cs="Times New Roman"/>
          <w:sz w:val="32"/>
          <w:szCs w:val="20"/>
        </w:rPr>
        <w:t>年</w:t>
      </w:r>
      <w:r>
        <w:rPr>
          <w:rFonts w:hint="eastAsia" w:ascii="仿宋_GB2312" w:hAnsi="仿宋_GB2312" w:eastAsia="仿宋_GB2312" w:cs="仿宋_GB2312"/>
          <w:sz w:val="32"/>
          <w:szCs w:val="32"/>
        </w:rPr>
        <w:t>临清村行</w:t>
      </w:r>
      <w:r>
        <w:rPr>
          <w:rFonts w:hint="eastAsia" w:ascii="仿宋_GB2312" w:hAnsi="仿宋_GB2312" w:eastAsia="仿宋_GB2312" w:cs="Times New Roman"/>
          <w:sz w:val="32"/>
          <w:szCs w:val="20"/>
        </w:rPr>
        <w:t>将以市场为导向，以客户为中心，以规模为基础，以质量为效益，在主抓传统业务的基础上，不断推进产品创新和综合营销，</w:t>
      </w:r>
      <w:r>
        <w:rPr>
          <w:rFonts w:hint="eastAsia" w:ascii="仿宋_GB2312" w:eastAsia="仿宋_GB2312" w:hAnsiTheme="minorEastAsia"/>
          <w:color w:val="000000" w:themeColor="text1"/>
          <w:sz w:val="32"/>
          <w:szCs w:val="32"/>
          <w14:textFill>
            <w14:solidFill>
              <w14:schemeClr w14:val="tx1"/>
            </w14:solidFill>
          </w14:textFill>
        </w:rPr>
        <w:t>实现价值的升华。</w:t>
      </w:r>
    </w:p>
    <w:p>
      <w:pPr>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读者反馈</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感谢您阅读《临清沪农商村镇银行20</w:t>
      </w:r>
      <w:r>
        <w:rPr>
          <w:rFonts w:hint="eastAsia" w:ascii="仿宋_GB2312" w:hAnsi="仿宋_GB2312" w:eastAsia="仿宋_GB2312" w:cs="仿宋_GB2312"/>
          <w:sz w:val="32"/>
          <w:szCs w:val="32"/>
          <w:lang w:val="en-US" w:eastAsia="zh-CN"/>
        </w:rPr>
        <w:t>25</w:t>
      </w:r>
      <w:r>
        <w:rPr>
          <w:rFonts w:hint="eastAsia" w:ascii="仿宋_GB2312" w:hAnsi="仿宋_GB2312" w:eastAsia="仿宋_GB2312" w:cs="仿宋_GB2312"/>
          <w:sz w:val="32"/>
          <w:szCs w:val="32"/>
        </w:rPr>
        <w:t>年社会责任报告》。为更好地向您及其他利益相关方提供有价值的信息，促进</w:t>
      </w:r>
      <w:r>
        <w:rPr>
          <w:rFonts w:hint="eastAsia" w:ascii="仿宋_GB2312" w:hAnsi="Times New Roman" w:eastAsia="仿宋_GB2312" w:cs="Times New Roman"/>
          <w:sz w:val="32"/>
          <w:szCs w:val="32"/>
          <w:highlight w:val="none"/>
          <w:lang w:val="en-US" w:eastAsia="zh-CN"/>
        </w:rPr>
        <w:t>临清村行</w:t>
      </w:r>
      <w:r>
        <w:rPr>
          <w:rFonts w:hint="eastAsia" w:ascii="仿宋_GB2312" w:hAnsi="仿宋_GB2312" w:eastAsia="仿宋_GB2312" w:cs="仿宋_GB2312"/>
          <w:sz w:val="32"/>
          <w:szCs w:val="32"/>
        </w:rPr>
        <w:t>提高履行社会责任的能力和水平，我们诚挚邀请您对本报告提出宝贵意见和建议，并通过以下方式反馈给我们。</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电话：0635-2976707</w:t>
      </w:r>
    </w:p>
    <w:p>
      <w:pPr>
        <w:spacing w:line="60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地址：山东省临清市古楼新村2988号中央帝景A区12号</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邮编：252600</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联系人：付嘉慧</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您属于哪类利益相关方？</w:t>
      </w:r>
    </w:p>
    <w:p>
      <w:pPr>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股东与投资者</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客户</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员工</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政府</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监管机构</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供应商与合作伙伴</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社区</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公众与媒体</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其他</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您对临清村行企业社会责任报告的总体评价：</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□好□较好□一般□较不好□不好</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您对临清村行履行经济、社会、环境责任的评价：</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经济责任：□好□较好□一般□较不好□不好</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社会责任：□好□较好□一般□较不好□不好</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环境责任：□好□较好□一般□较不好□不好</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您认为本报告能否反映临清村行的社会责任实践对经济、社会、环境的影响？</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□能很好反映□能较好反映□能一般反映□不太能反映□不能反映</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您认为本报告披露的信息、数据、指标的清晰度、准确度和完整性如何？</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清晰度：□好□较好□一般□较不好□不好</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准确度：□好□较好□一般□较不好□不好</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完整性：□好□较好□一般□较不好□不好</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您认为本报告的内容安排和版式设计是否方便阅读？</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□是□一般□否</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您对临清村行企业社会责任工作和本报告的其他意见和建议。</w:t>
      </w:r>
    </w:p>
    <w:p>
      <w:pPr>
        <w:spacing w:line="600" w:lineRule="exact"/>
        <w:rPr>
          <w:rFonts w:hint="eastAsia" w:ascii="仿宋" w:hAnsi="仿宋" w:eastAsia="仿宋" w:cs="仿宋"/>
          <w:sz w:val="22"/>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6175044"/>
      <w:docPartObj>
        <w:docPartGallery w:val="autotext"/>
      </w:docPartObj>
    </w:sdtPr>
    <w:sdtContent>
      <w:p>
        <w:pPr>
          <w:pStyle w:val="8"/>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right"/>
      <w:rPr>
        <w:rFonts w:eastAsia="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3463E"/>
    <w:multiLevelType w:val="singleLevel"/>
    <w:tmpl w:val="1273463E"/>
    <w:lvl w:ilvl="0" w:tentative="0">
      <w:start w:val="1"/>
      <w:numFmt w:val="decimal"/>
      <w:lvlText w:val="%1."/>
      <w:lvlJc w:val="left"/>
      <w:pPr>
        <w:ind w:left="425" w:hanging="425"/>
      </w:pPr>
      <w:rPr>
        <w:rFonts w:hint="default"/>
      </w:rPr>
    </w:lvl>
  </w:abstractNum>
  <w:abstractNum w:abstractNumId="1">
    <w:nsid w:val="48E281F6"/>
    <w:multiLevelType w:val="singleLevel"/>
    <w:tmpl w:val="48E281F6"/>
    <w:lvl w:ilvl="0" w:tentative="0">
      <w:start w:val="1"/>
      <w:numFmt w:val="chineseCounting"/>
      <w:suff w:val="space"/>
      <w:lvlText w:val="第%1节"/>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hMTg0NTUwYmU4NjgxYjE2ZDY4ODc5NjNhMmIyMGQifQ=="/>
  </w:docVars>
  <w:rsids>
    <w:rsidRoot w:val="77DA6B38"/>
    <w:rsid w:val="00196CBE"/>
    <w:rsid w:val="00215E2C"/>
    <w:rsid w:val="00453927"/>
    <w:rsid w:val="00485456"/>
    <w:rsid w:val="00DD02E2"/>
    <w:rsid w:val="00DD1B12"/>
    <w:rsid w:val="00EA2565"/>
    <w:rsid w:val="00F262B1"/>
    <w:rsid w:val="038140E6"/>
    <w:rsid w:val="052C719D"/>
    <w:rsid w:val="076B00D8"/>
    <w:rsid w:val="08950206"/>
    <w:rsid w:val="08E628C0"/>
    <w:rsid w:val="0981197F"/>
    <w:rsid w:val="09D703A1"/>
    <w:rsid w:val="0A1A3684"/>
    <w:rsid w:val="0C576EBD"/>
    <w:rsid w:val="0C6641B3"/>
    <w:rsid w:val="0C9C69B5"/>
    <w:rsid w:val="0CA14C28"/>
    <w:rsid w:val="0DA150F5"/>
    <w:rsid w:val="0EFC6F58"/>
    <w:rsid w:val="0FD87FE3"/>
    <w:rsid w:val="12AB4C4B"/>
    <w:rsid w:val="13C01A62"/>
    <w:rsid w:val="13DC1813"/>
    <w:rsid w:val="15B13CA7"/>
    <w:rsid w:val="17F2528E"/>
    <w:rsid w:val="18495F04"/>
    <w:rsid w:val="188A5028"/>
    <w:rsid w:val="192317DB"/>
    <w:rsid w:val="192E12E2"/>
    <w:rsid w:val="1B0C405C"/>
    <w:rsid w:val="1C646037"/>
    <w:rsid w:val="1DFF5500"/>
    <w:rsid w:val="1EE55D5C"/>
    <w:rsid w:val="212919D4"/>
    <w:rsid w:val="227E462E"/>
    <w:rsid w:val="22A914C6"/>
    <w:rsid w:val="238C1FCF"/>
    <w:rsid w:val="2814786D"/>
    <w:rsid w:val="288F31DA"/>
    <w:rsid w:val="28C12E2E"/>
    <w:rsid w:val="2DE71E22"/>
    <w:rsid w:val="2E06565A"/>
    <w:rsid w:val="2E18054D"/>
    <w:rsid w:val="2E23359E"/>
    <w:rsid w:val="2E8160FB"/>
    <w:rsid w:val="2E817976"/>
    <w:rsid w:val="30B26889"/>
    <w:rsid w:val="3103168E"/>
    <w:rsid w:val="332C7427"/>
    <w:rsid w:val="3622185C"/>
    <w:rsid w:val="369C408E"/>
    <w:rsid w:val="3991309D"/>
    <w:rsid w:val="39C17EB8"/>
    <w:rsid w:val="3B3E6B85"/>
    <w:rsid w:val="3E772E9D"/>
    <w:rsid w:val="3FC1467C"/>
    <w:rsid w:val="400A044E"/>
    <w:rsid w:val="407341E5"/>
    <w:rsid w:val="42C32066"/>
    <w:rsid w:val="42CF6B2E"/>
    <w:rsid w:val="43530CFB"/>
    <w:rsid w:val="436F244F"/>
    <w:rsid w:val="45BC1DBD"/>
    <w:rsid w:val="478D5FA1"/>
    <w:rsid w:val="47B131D3"/>
    <w:rsid w:val="47D26D73"/>
    <w:rsid w:val="48D242DF"/>
    <w:rsid w:val="499F0AA5"/>
    <w:rsid w:val="4B243599"/>
    <w:rsid w:val="4CF54797"/>
    <w:rsid w:val="4D634455"/>
    <w:rsid w:val="4E7F035C"/>
    <w:rsid w:val="4EF42C0A"/>
    <w:rsid w:val="4F295208"/>
    <w:rsid w:val="4F4D7371"/>
    <w:rsid w:val="50A324ED"/>
    <w:rsid w:val="512F09A7"/>
    <w:rsid w:val="5242391E"/>
    <w:rsid w:val="52934EF4"/>
    <w:rsid w:val="545A4345"/>
    <w:rsid w:val="55262462"/>
    <w:rsid w:val="5648214E"/>
    <w:rsid w:val="57C50466"/>
    <w:rsid w:val="58494D38"/>
    <w:rsid w:val="593C389F"/>
    <w:rsid w:val="59C528AF"/>
    <w:rsid w:val="5A0C7465"/>
    <w:rsid w:val="5A593714"/>
    <w:rsid w:val="5A923736"/>
    <w:rsid w:val="5AD32A01"/>
    <w:rsid w:val="5ADB5E14"/>
    <w:rsid w:val="5C316C98"/>
    <w:rsid w:val="5C4B39DA"/>
    <w:rsid w:val="5D1219A6"/>
    <w:rsid w:val="5FE817A1"/>
    <w:rsid w:val="6263579B"/>
    <w:rsid w:val="67CA1271"/>
    <w:rsid w:val="685B7F12"/>
    <w:rsid w:val="68E8091E"/>
    <w:rsid w:val="69A16071"/>
    <w:rsid w:val="6A2F09B2"/>
    <w:rsid w:val="6AC1406F"/>
    <w:rsid w:val="6ECE54E6"/>
    <w:rsid w:val="6EE61184"/>
    <w:rsid w:val="6EFA1B04"/>
    <w:rsid w:val="6FDB1138"/>
    <w:rsid w:val="705060FF"/>
    <w:rsid w:val="70566D8E"/>
    <w:rsid w:val="714C3362"/>
    <w:rsid w:val="71AC3484"/>
    <w:rsid w:val="71F1363E"/>
    <w:rsid w:val="72AD6F16"/>
    <w:rsid w:val="74FA76FB"/>
    <w:rsid w:val="751A76A0"/>
    <w:rsid w:val="77364334"/>
    <w:rsid w:val="77D23A76"/>
    <w:rsid w:val="77DA6B38"/>
    <w:rsid w:val="79CD7CD6"/>
    <w:rsid w:val="7AF73AB0"/>
    <w:rsid w:val="7E7C4D5C"/>
    <w:rsid w:val="7EB947D4"/>
    <w:rsid w:val="7EBF32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spacing w:line="560" w:lineRule="exact"/>
      <w:ind w:firstLine="1440" w:firstLineChars="200"/>
      <w:jc w:val="left"/>
      <w:outlineLvl w:val="2"/>
    </w:pPr>
    <w:rPr>
      <w:rFonts w:ascii="宋体" w:hAnsi="宋体" w:eastAsia="仿宋_GB2312" w:cs="宋体"/>
      <w:b/>
      <w:bCs/>
      <w:kern w:val="0"/>
      <w:sz w:val="32"/>
      <w:szCs w:val="27"/>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line="300" w:lineRule="auto"/>
      <w:ind w:left="315" w:firstLine="585"/>
    </w:pPr>
    <w:rPr>
      <w:sz w:val="24"/>
      <w:szCs w:val="20"/>
    </w:rPr>
  </w:style>
  <w:style w:type="paragraph" w:styleId="5">
    <w:name w:val="Document Map"/>
    <w:basedOn w:val="1"/>
    <w:qFormat/>
    <w:uiPriority w:val="0"/>
    <w:rPr>
      <w:rFonts w:ascii="宋体" w:hAnsi="宋体"/>
      <w:sz w:val="18"/>
      <w:szCs w:val="18"/>
    </w:rPr>
  </w:style>
  <w:style w:type="paragraph" w:styleId="6">
    <w:name w:val="annotation text"/>
    <w:basedOn w:val="1"/>
    <w:qFormat/>
    <w:uiPriority w:val="0"/>
    <w:pPr>
      <w:jc w:val="left"/>
    </w:pPr>
  </w:style>
  <w:style w:type="paragraph" w:styleId="7">
    <w:name w:val="Body Text"/>
    <w:basedOn w:val="1"/>
    <w:next w:val="1"/>
    <w:qFormat/>
    <w:uiPriority w:val="0"/>
    <w:pPr>
      <w:spacing w:after="120"/>
    </w:pPr>
    <w:rPr>
      <w:szCs w:val="22"/>
    </w:rPr>
  </w:style>
  <w:style w:type="paragraph" w:styleId="8">
    <w:name w:val="footer"/>
    <w:basedOn w:val="1"/>
    <w:link w:val="16"/>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列表段落1"/>
    <w:next w:val="5"/>
    <w:qFormat/>
    <w:uiPriority w:val="0"/>
    <w:pPr>
      <w:ind w:firstLine="200" w:firstLineChars="200"/>
    </w:pPr>
    <w:rPr>
      <w:rFonts w:ascii="宋体" w:hAnsi="Times New Roman" w:eastAsia="宋体" w:cs="宋体"/>
      <w:sz w:val="24"/>
      <w:szCs w:val="22"/>
      <w:lang w:val="en-US" w:eastAsia="zh-CN" w:bidi="ar-SA"/>
    </w:rPr>
  </w:style>
  <w:style w:type="paragraph" w:customStyle="1" w:styleId="15">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6">
    <w:name w:val="页脚 字符"/>
    <w:basedOn w:val="13"/>
    <w:link w:val="8"/>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95A8FC-1FB3-4711-BD18-A9ECE7BC778C}">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1208</Words>
  <Characters>6889</Characters>
  <Lines>57</Lines>
  <Paragraphs>16</Paragraphs>
  <TotalTime>1</TotalTime>
  <ScaleCrop>false</ScaleCrop>
  <LinksUpToDate>false</LinksUpToDate>
  <CharactersWithSpaces>8081</CharactersWithSpaces>
  <Application>WPS Office_11.8.2.9075_F1E327BC-269C-435d-A152-05C5408002CA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2022-03-08T09:25:00Z</dcterms:created>
  <dc:creator>何雨秋</dc:creator>
  <cp:lastModifiedBy>Administrator</cp:lastModifiedBy>
  <dcterms:modified xsi:type="dcterms:W3CDTF">2026-04-27T07:57:37Z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2052-11.8.2.9075</vt:lpwstr>
  </property>
  <property fmtid="{D5CDD505-2E9C-101B-9397-08002B2CF9AE}" pid="3" name="ICV">
    <vt:lpwstr>56D87DA1EA0E4020BF7ED0D1681C291C</vt:lpwstr>
  </property>
  <property fmtid="{D5CDD505-2E9C-101B-9397-08002B2CF9AE}" pid="4" name="KSOTemplateDocerSaveRecord">
    <vt:lpwstr>eyJoZGlkIjoiNzE5NjdkYzQ1NDM3ODI3ZDJiNzlkOWM4OWNjMmNhZDgifQ==</vt:lpwstr>
  </property>
</Properties>
</file>